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BC12D" w14:textId="64465B55" w:rsidR="00FD66CE" w:rsidRDefault="00FD66CE" w:rsidP="001D6DEE">
      <w:pPr>
        <w:jc w:val="right"/>
        <w:rPr>
          <w:rFonts w:ascii="PT Sans" w:hAnsi="PT Sans" w:cstheme="minorHAnsi"/>
          <w:b/>
          <w:color w:val="144A74"/>
          <w:szCs w:val="20"/>
        </w:rPr>
      </w:pPr>
      <w:r w:rsidRPr="001D6DEE">
        <w:rPr>
          <w:rFonts w:ascii="PT Sans" w:hAnsi="PT Sans" w:cstheme="minorHAnsi"/>
          <w:b/>
          <w:noProof/>
          <w:color w:val="144A74"/>
          <w:szCs w:val="20"/>
        </w:rPr>
        <w:drawing>
          <wp:anchor distT="0" distB="0" distL="114300" distR="114300" simplePos="0" relativeHeight="251667456" behindDoc="0" locked="0" layoutInCell="1" allowOverlap="1" wp14:anchorId="3FD335E0" wp14:editId="0210966F">
            <wp:simplePos x="0" y="0"/>
            <wp:positionH relativeFrom="margin">
              <wp:posOffset>1595755</wp:posOffset>
            </wp:positionH>
            <wp:positionV relativeFrom="paragraph">
              <wp:posOffset>-657225</wp:posOffset>
            </wp:positionV>
            <wp:extent cx="2565400" cy="108394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07-26-ReSolve-Logo-Claim.jpg"/>
                    <pic:cNvPicPr/>
                  </pic:nvPicPr>
                  <pic:blipFill>
                    <a:blip r:embed="rId6">
                      <a:extLst>
                        <a:ext uri="{28A0092B-C50C-407E-A947-70E740481C1C}">
                          <a14:useLocalDpi xmlns:a14="http://schemas.microsoft.com/office/drawing/2010/main" val="0"/>
                        </a:ext>
                      </a:extLst>
                    </a:blip>
                    <a:stretch>
                      <a:fillRect/>
                    </a:stretch>
                  </pic:blipFill>
                  <pic:spPr>
                    <a:xfrm>
                      <a:off x="0" y="0"/>
                      <a:ext cx="2565400" cy="1083945"/>
                    </a:xfrm>
                    <a:prstGeom prst="rect">
                      <a:avLst/>
                    </a:prstGeom>
                  </pic:spPr>
                </pic:pic>
              </a:graphicData>
            </a:graphic>
            <wp14:sizeRelH relativeFrom="page">
              <wp14:pctWidth>0</wp14:pctWidth>
            </wp14:sizeRelH>
            <wp14:sizeRelV relativeFrom="page">
              <wp14:pctHeight>0</wp14:pctHeight>
            </wp14:sizeRelV>
          </wp:anchor>
        </w:drawing>
      </w:r>
    </w:p>
    <w:p w14:paraId="33CAFFA4" w14:textId="392FE704" w:rsidR="00FD66CE" w:rsidRDefault="00FD66CE" w:rsidP="001D6DEE">
      <w:pPr>
        <w:jc w:val="right"/>
        <w:rPr>
          <w:rFonts w:ascii="PT Sans" w:hAnsi="PT Sans" w:cstheme="minorHAnsi"/>
          <w:b/>
          <w:color w:val="144A74"/>
          <w:szCs w:val="20"/>
        </w:rPr>
      </w:pPr>
    </w:p>
    <w:p w14:paraId="18D5FE66" w14:textId="3EC4B37F" w:rsidR="00FD66CE" w:rsidRPr="00FD66CE" w:rsidRDefault="00FD66CE" w:rsidP="001D6DEE">
      <w:pPr>
        <w:jc w:val="right"/>
        <w:rPr>
          <w:rFonts w:ascii="PT Sans" w:hAnsi="PT Sans" w:cstheme="minorHAnsi"/>
          <w:b/>
          <w:color w:val="144A74"/>
          <w:sz w:val="28"/>
          <w:szCs w:val="20"/>
        </w:rPr>
      </w:pPr>
    </w:p>
    <w:p w14:paraId="7576536E" w14:textId="180B1AB3" w:rsidR="00B6215A" w:rsidRPr="00FD66CE" w:rsidRDefault="00B6215A" w:rsidP="00FD66CE">
      <w:pPr>
        <w:jc w:val="center"/>
        <w:rPr>
          <w:rFonts w:ascii="PT Sans" w:hAnsi="PT Sans" w:cstheme="minorHAnsi"/>
          <w:b/>
          <w:color w:val="144A74"/>
          <w:sz w:val="32"/>
          <w:szCs w:val="20"/>
          <w:lang w:val="en-US"/>
        </w:rPr>
      </w:pPr>
      <w:proofErr w:type="spellStart"/>
      <w:r w:rsidRPr="00FD66CE">
        <w:rPr>
          <w:rFonts w:ascii="PT Sans" w:hAnsi="PT Sans" w:cstheme="minorHAnsi"/>
          <w:b/>
          <w:color w:val="144A74"/>
          <w:sz w:val="32"/>
          <w:szCs w:val="20"/>
        </w:rPr>
        <w:t>ReSolve</w:t>
      </w:r>
      <w:proofErr w:type="spellEnd"/>
      <w:r w:rsidRPr="00FD66CE">
        <w:rPr>
          <w:rFonts w:ascii="PT Sans" w:hAnsi="PT Sans" w:cstheme="minorHAnsi"/>
          <w:b/>
          <w:color w:val="144A74"/>
          <w:sz w:val="32"/>
          <w:szCs w:val="20"/>
        </w:rPr>
        <w:t xml:space="preserve"> </w:t>
      </w:r>
      <w:r w:rsidR="00C91F7F">
        <w:rPr>
          <w:rFonts w:ascii="PT Sans" w:hAnsi="PT Sans" w:cstheme="minorHAnsi"/>
          <w:b/>
          <w:color w:val="144A74"/>
          <w:sz w:val="32"/>
          <w:szCs w:val="20"/>
          <w:lang w:val="en-US"/>
        </w:rPr>
        <w:t>Stakeholder</w:t>
      </w:r>
      <w:r w:rsidRPr="00FD66CE">
        <w:rPr>
          <w:rFonts w:ascii="PT Sans" w:hAnsi="PT Sans" w:cstheme="minorHAnsi"/>
          <w:b/>
          <w:color w:val="144A74"/>
          <w:sz w:val="32"/>
          <w:szCs w:val="20"/>
          <w:lang w:val="en-US"/>
        </w:rPr>
        <w:t xml:space="preserve"> Workshop</w:t>
      </w:r>
      <w:r w:rsidR="00FD66CE" w:rsidRPr="00FD66CE">
        <w:rPr>
          <w:rFonts w:ascii="PT Sans" w:hAnsi="PT Sans" w:cstheme="minorHAnsi"/>
          <w:b/>
          <w:color w:val="144A74"/>
          <w:sz w:val="32"/>
          <w:szCs w:val="20"/>
          <w:lang w:val="en-US"/>
        </w:rPr>
        <w:t xml:space="preserve"> </w:t>
      </w:r>
      <w:r w:rsidRPr="00FD66CE">
        <w:rPr>
          <w:rFonts w:ascii="PT Sans" w:hAnsi="PT Sans" w:cstheme="minorHAnsi"/>
          <w:b/>
          <w:color w:val="144A74"/>
          <w:sz w:val="32"/>
          <w:szCs w:val="20"/>
          <w:lang w:val="en-US"/>
        </w:rPr>
        <w:t>at EFIB 2019</w:t>
      </w:r>
    </w:p>
    <w:p w14:paraId="576BAB8E" w14:textId="1C25AC05" w:rsidR="00B6215A" w:rsidRPr="00FD66CE" w:rsidRDefault="00B6215A" w:rsidP="001D6DEE">
      <w:pPr>
        <w:jc w:val="right"/>
        <w:rPr>
          <w:rFonts w:ascii="PT Sans" w:hAnsi="PT Sans" w:cstheme="minorHAnsi"/>
          <w:b/>
          <w:color w:val="144A74"/>
          <w:sz w:val="10"/>
          <w:szCs w:val="20"/>
        </w:rPr>
      </w:pPr>
    </w:p>
    <w:p w14:paraId="2168F758" w14:textId="0B8DBE06" w:rsidR="00B6215A" w:rsidRPr="00FD66CE" w:rsidRDefault="00B6215A" w:rsidP="00FD66CE">
      <w:pPr>
        <w:jc w:val="center"/>
        <w:rPr>
          <w:rFonts w:ascii="PT Sans" w:hAnsi="PT Sans" w:cstheme="minorHAnsi"/>
          <w:color w:val="144A74"/>
          <w:sz w:val="21"/>
          <w:szCs w:val="20"/>
        </w:rPr>
      </w:pPr>
      <w:r w:rsidRPr="00FD66CE">
        <w:rPr>
          <w:rFonts w:ascii="PT Sans" w:hAnsi="PT Sans" w:cstheme="minorHAnsi"/>
          <w:color w:val="144A74"/>
          <w:sz w:val="21"/>
          <w:szCs w:val="20"/>
        </w:rPr>
        <w:t>12:00 - 17:30</w:t>
      </w:r>
      <w:r w:rsidR="00C91F7F">
        <w:rPr>
          <w:rFonts w:ascii="PT Sans" w:hAnsi="PT Sans" w:cstheme="minorHAnsi"/>
          <w:color w:val="144A74"/>
          <w:sz w:val="21"/>
          <w:szCs w:val="20"/>
        </w:rPr>
        <w:t xml:space="preserve"> hrs</w:t>
      </w:r>
      <w:r w:rsidRPr="00FD66CE">
        <w:rPr>
          <w:rFonts w:ascii="PT Sans" w:hAnsi="PT Sans" w:cstheme="minorHAnsi"/>
          <w:color w:val="144A74"/>
          <w:sz w:val="21"/>
          <w:szCs w:val="20"/>
        </w:rPr>
        <w:t>, 30.09.19,</w:t>
      </w:r>
      <w:r w:rsidR="00C91F7F" w:rsidRPr="00C91F7F">
        <w:t xml:space="preserve"> </w:t>
      </w:r>
      <w:r w:rsidR="00C91F7F" w:rsidRPr="00C91F7F">
        <w:rPr>
          <w:rFonts w:ascii="PT Sans" w:hAnsi="PT Sans" w:cstheme="minorHAnsi"/>
          <w:color w:val="144A74"/>
          <w:sz w:val="21"/>
          <w:szCs w:val="20"/>
        </w:rPr>
        <w:t xml:space="preserve">The </w:t>
      </w:r>
      <w:r w:rsidR="00C91F7F">
        <w:rPr>
          <w:rFonts w:ascii="PT Sans" w:hAnsi="PT Sans" w:cstheme="minorHAnsi"/>
          <w:color w:val="144A74"/>
          <w:sz w:val="21"/>
          <w:szCs w:val="20"/>
        </w:rPr>
        <w:t>SQUARE</w:t>
      </w:r>
      <w:r w:rsidR="00C91F7F" w:rsidRPr="00C91F7F">
        <w:rPr>
          <w:rFonts w:ascii="PT Sans" w:hAnsi="PT Sans" w:cstheme="minorHAnsi"/>
          <w:color w:val="144A74"/>
          <w:sz w:val="21"/>
          <w:szCs w:val="20"/>
        </w:rPr>
        <w:t xml:space="preserve"> </w:t>
      </w:r>
      <w:r w:rsidR="00C91F7F">
        <w:rPr>
          <w:rFonts w:ascii="PT Sans" w:hAnsi="PT Sans" w:cstheme="minorHAnsi"/>
          <w:color w:val="144A74"/>
          <w:sz w:val="21"/>
          <w:szCs w:val="20"/>
        </w:rPr>
        <w:t>B</w:t>
      </w:r>
      <w:r w:rsidR="00C91F7F" w:rsidRPr="00C91F7F">
        <w:rPr>
          <w:rFonts w:ascii="PT Sans" w:hAnsi="PT Sans" w:cstheme="minorHAnsi"/>
          <w:color w:val="144A74"/>
          <w:sz w:val="21"/>
          <w:szCs w:val="20"/>
        </w:rPr>
        <w:t>russels convention centre</w:t>
      </w:r>
      <w:r w:rsidR="00C91F7F">
        <w:rPr>
          <w:rFonts w:ascii="PT Sans" w:hAnsi="PT Sans" w:cstheme="minorHAnsi"/>
          <w:color w:val="144A74"/>
          <w:sz w:val="21"/>
          <w:szCs w:val="20"/>
        </w:rPr>
        <w:t>,</w:t>
      </w:r>
      <w:r w:rsidRPr="00FD66CE">
        <w:rPr>
          <w:rFonts w:ascii="PT Sans" w:hAnsi="PT Sans" w:cstheme="minorHAnsi"/>
          <w:color w:val="144A74"/>
          <w:sz w:val="21"/>
          <w:szCs w:val="20"/>
        </w:rPr>
        <w:t xml:space="preserve"> Brussels</w:t>
      </w:r>
    </w:p>
    <w:p w14:paraId="744BB265" w14:textId="77F3045B" w:rsidR="00FD66CE" w:rsidRPr="00FD66CE" w:rsidRDefault="00FD66CE" w:rsidP="00FD66CE">
      <w:pPr>
        <w:jc w:val="center"/>
        <w:rPr>
          <w:rFonts w:ascii="PT Sans" w:hAnsi="PT Sans" w:cstheme="minorHAnsi"/>
          <w:sz w:val="20"/>
          <w:szCs w:val="20"/>
        </w:rPr>
      </w:pPr>
    </w:p>
    <w:tbl>
      <w:tblPr>
        <w:tblStyle w:val="TableGrid"/>
        <w:tblW w:w="9316" w:type="dxa"/>
        <w:tblBorders>
          <w:top w:val="dotted" w:sz="4" w:space="0" w:color="144A74"/>
          <w:left w:val="none" w:sz="0" w:space="0" w:color="auto"/>
          <w:bottom w:val="dotted" w:sz="4" w:space="0" w:color="144A74"/>
          <w:right w:val="single" w:sz="4" w:space="0" w:color="FFFFFF" w:themeColor="background1"/>
          <w:insideH w:val="dotted" w:sz="4" w:space="0" w:color="144A74"/>
          <w:insideV w:val="single" w:sz="4" w:space="0" w:color="FFFFFF" w:themeColor="background1"/>
        </w:tblBorders>
        <w:tblLook w:val="04A0" w:firstRow="1" w:lastRow="0" w:firstColumn="1" w:lastColumn="0" w:noHBand="0" w:noVBand="1"/>
      </w:tblPr>
      <w:tblGrid>
        <w:gridCol w:w="1576"/>
        <w:gridCol w:w="7733"/>
        <w:gridCol w:w="7"/>
      </w:tblGrid>
      <w:tr w:rsidR="00075B77" w:rsidRPr="001D6DEE" w14:paraId="340DBBEF" w14:textId="77777777" w:rsidTr="00FD66CE">
        <w:trPr>
          <w:trHeight w:val="448"/>
        </w:trPr>
        <w:tc>
          <w:tcPr>
            <w:tcW w:w="9316" w:type="dxa"/>
            <w:gridSpan w:val="3"/>
            <w:vAlign w:val="center"/>
          </w:tcPr>
          <w:p w14:paraId="62ECDE01" w14:textId="2D98BB84" w:rsidR="00075B77" w:rsidRPr="00FD66CE" w:rsidRDefault="00075B77" w:rsidP="00FD66CE">
            <w:pPr>
              <w:jc w:val="center"/>
              <w:rPr>
                <w:rFonts w:ascii="PT Sans" w:hAnsi="PT Sans" w:cstheme="minorHAnsi"/>
                <w:b/>
                <w:sz w:val="22"/>
                <w:szCs w:val="20"/>
              </w:rPr>
            </w:pPr>
            <w:r w:rsidRPr="00FD66CE">
              <w:rPr>
                <w:rFonts w:ascii="PT Sans" w:hAnsi="PT Sans" w:cstheme="minorHAnsi"/>
                <w:b/>
                <w:color w:val="144A74"/>
                <w:sz w:val="22"/>
                <w:szCs w:val="20"/>
              </w:rPr>
              <w:t>Programme</w:t>
            </w:r>
          </w:p>
        </w:tc>
      </w:tr>
      <w:tr w:rsidR="00FD66CE" w:rsidRPr="00FD66CE" w14:paraId="600BE428" w14:textId="77777777" w:rsidTr="001D6DEE">
        <w:trPr>
          <w:gridAfter w:val="1"/>
          <w:wAfter w:w="7" w:type="dxa"/>
        </w:trPr>
        <w:tc>
          <w:tcPr>
            <w:tcW w:w="1576" w:type="dxa"/>
          </w:tcPr>
          <w:p w14:paraId="0DEF8510" w14:textId="77777777" w:rsidR="00380C76" w:rsidRPr="00FD66CE" w:rsidRDefault="00380C76" w:rsidP="00620E34">
            <w:pPr>
              <w:rPr>
                <w:rFonts w:ascii="PT Sans" w:hAnsi="PT Sans" w:cstheme="minorHAnsi"/>
                <w:b/>
                <w:color w:val="144A74"/>
                <w:sz w:val="20"/>
                <w:szCs w:val="20"/>
              </w:rPr>
            </w:pPr>
            <w:r w:rsidRPr="00FD66CE">
              <w:rPr>
                <w:rFonts w:ascii="PT Sans" w:hAnsi="PT Sans" w:cstheme="minorHAnsi"/>
                <w:b/>
                <w:color w:val="144A74"/>
                <w:sz w:val="20"/>
                <w:szCs w:val="20"/>
              </w:rPr>
              <w:t>12:00</w:t>
            </w:r>
          </w:p>
        </w:tc>
        <w:tc>
          <w:tcPr>
            <w:tcW w:w="7733" w:type="dxa"/>
          </w:tcPr>
          <w:p w14:paraId="2D98F56B" w14:textId="28FF8D49" w:rsidR="00380C76" w:rsidRPr="00FD66CE" w:rsidRDefault="00380C76" w:rsidP="00620E34">
            <w:pPr>
              <w:rPr>
                <w:rFonts w:ascii="PT Sans" w:hAnsi="PT Sans" w:cstheme="minorHAnsi"/>
                <w:b/>
                <w:color w:val="144A74"/>
                <w:sz w:val="20"/>
                <w:szCs w:val="20"/>
              </w:rPr>
            </w:pPr>
            <w:r w:rsidRPr="00FD66CE">
              <w:rPr>
                <w:rFonts w:ascii="PT Sans" w:hAnsi="PT Sans" w:cstheme="minorHAnsi"/>
                <w:b/>
                <w:color w:val="144A74"/>
                <w:sz w:val="20"/>
                <w:szCs w:val="20"/>
              </w:rPr>
              <w:t>Lunch and registration</w:t>
            </w:r>
          </w:p>
        </w:tc>
      </w:tr>
      <w:tr w:rsidR="00FD66CE" w:rsidRPr="00FD66CE" w14:paraId="5C2C7C7F" w14:textId="77777777" w:rsidTr="001D6DEE">
        <w:trPr>
          <w:gridAfter w:val="1"/>
          <w:wAfter w:w="7" w:type="dxa"/>
        </w:trPr>
        <w:tc>
          <w:tcPr>
            <w:tcW w:w="1576" w:type="dxa"/>
          </w:tcPr>
          <w:p w14:paraId="433CCE03" w14:textId="77777777" w:rsidR="00380C76" w:rsidRPr="00FD66CE" w:rsidRDefault="00380C76" w:rsidP="00620E34">
            <w:pPr>
              <w:tabs>
                <w:tab w:val="left" w:pos="851"/>
              </w:tabs>
              <w:rPr>
                <w:rFonts w:ascii="PT Sans" w:hAnsi="PT Sans" w:cstheme="minorHAnsi"/>
                <w:b/>
                <w:color w:val="144A74"/>
                <w:sz w:val="20"/>
                <w:szCs w:val="20"/>
              </w:rPr>
            </w:pPr>
            <w:r w:rsidRPr="00FD66CE">
              <w:rPr>
                <w:rFonts w:ascii="PT Sans" w:hAnsi="PT Sans" w:cstheme="minorHAnsi"/>
                <w:b/>
                <w:color w:val="144A74"/>
                <w:sz w:val="20"/>
                <w:szCs w:val="20"/>
              </w:rPr>
              <w:t>13:00</w:t>
            </w:r>
          </w:p>
        </w:tc>
        <w:tc>
          <w:tcPr>
            <w:tcW w:w="7733" w:type="dxa"/>
          </w:tcPr>
          <w:p w14:paraId="4B1ABF5F" w14:textId="150658E3" w:rsidR="00380C76" w:rsidRPr="00FD66CE" w:rsidRDefault="00380C76" w:rsidP="00620E34">
            <w:pPr>
              <w:tabs>
                <w:tab w:val="left" w:pos="851"/>
              </w:tabs>
              <w:rPr>
                <w:rFonts w:ascii="PT Sans" w:hAnsi="PT Sans" w:cstheme="minorHAnsi"/>
                <w:b/>
                <w:color w:val="144A74"/>
                <w:sz w:val="20"/>
                <w:szCs w:val="20"/>
              </w:rPr>
            </w:pPr>
            <w:r w:rsidRPr="00FD66CE">
              <w:rPr>
                <w:rFonts w:ascii="PT Sans" w:hAnsi="PT Sans" w:cstheme="minorHAnsi"/>
                <w:b/>
                <w:color w:val="144A74"/>
                <w:sz w:val="20"/>
                <w:szCs w:val="20"/>
              </w:rPr>
              <w:t>Session 1: Safer solvent substitution</w:t>
            </w:r>
          </w:p>
        </w:tc>
      </w:tr>
      <w:tr w:rsidR="00684D0D" w:rsidRPr="001D6DEE" w14:paraId="207A5C4E" w14:textId="77777777" w:rsidTr="001D6DEE">
        <w:trPr>
          <w:gridAfter w:val="1"/>
          <w:wAfter w:w="7" w:type="dxa"/>
          <w:trHeight w:val="2620"/>
        </w:trPr>
        <w:tc>
          <w:tcPr>
            <w:tcW w:w="1576" w:type="dxa"/>
          </w:tcPr>
          <w:p w14:paraId="31B0FDF0" w14:textId="54CFD351" w:rsidR="00380C76" w:rsidRPr="001D6DEE" w:rsidRDefault="00354F18" w:rsidP="00620E34">
            <w:pPr>
              <w:rPr>
                <w:rFonts w:ascii="PT Sans" w:hAnsi="PT Sans" w:cstheme="minorHAnsi"/>
                <w:b/>
                <w:color w:val="144A74"/>
                <w:sz w:val="20"/>
                <w:szCs w:val="20"/>
              </w:rPr>
            </w:pPr>
            <w:r w:rsidRPr="001D6DEE">
              <w:rPr>
                <w:rFonts w:ascii="PT Sans" w:hAnsi="PT Sans" w:cstheme="minorHAnsi"/>
                <w:b/>
                <w:noProof/>
                <w:color w:val="144A74"/>
                <w:sz w:val="20"/>
                <w:szCs w:val="20"/>
              </w:rPr>
              <w:drawing>
                <wp:anchor distT="0" distB="0" distL="114300" distR="114300" simplePos="0" relativeHeight="251658240" behindDoc="1" locked="0" layoutInCell="1" allowOverlap="1" wp14:anchorId="03FAA687" wp14:editId="530CE541">
                  <wp:simplePos x="0" y="0"/>
                  <wp:positionH relativeFrom="column">
                    <wp:posOffset>109855</wp:posOffset>
                  </wp:positionH>
                  <wp:positionV relativeFrom="paragraph">
                    <wp:posOffset>68926</wp:posOffset>
                  </wp:positionV>
                  <wp:extent cx="748665" cy="773430"/>
                  <wp:effectExtent l="0" t="0" r="635" b="1270"/>
                  <wp:wrapTight wrapText="bothSides">
                    <wp:wrapPolygon edited="0">
                      <wp:start x="0" y="0"/>
                      <wp:lineTo x="0" y="21281"/>
                      <wp:lineTo x="21252" y="21281"/>
                      <wp:lineTo x="212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tra1.png"/>
                          <pic:cNvPicPr/>
                        </pic:nvPicPr>
                        <pic:blipFill>
                          <a:blip r:embed="rId7">
                            <a:extLst>
                              <a:ext uri="{28A0092B-C50C-407E-A947-70E740481C1C}">
                                <a14:useLocalDpi xmlns:a14="http://schemas.microsoft.com/office/drawing/2010/main" val="0"/>
                              </a:ext>
                            </a:extLst>
                          </a:blip>
                          <a:stretch>
                            <a:fillRect/>
                          </a:stretch>
                        </pic:blipFill>
                        <pic:spPr>
                          <a:xfrm>
                            <a:off x="0" y="0"/>
                            <a:ext cx="748665" cy="773430"/>
                          </a:xfrm>
                          <a:prstGeom prst="rect">
                            <a:avLst/>
                          </a:prstGeom>
                        </pic:spPr>
                      </pic:pic>
                    </a:graphicData>
                  </a:graphic>
                  <wp14:sizeRelH relativeFrom="margin">
                    <wp14:pctWidth>0</wp14:pctWidth>
                  </wp14:sizeRelH>
                  <wp14:sizeRelV relativeFrom="margin">
                    <wp14:pctHeight>0</wp14:pctHeight>
                  </wp14:sizeRelV>
                </wp:anchor>
              </w:drawing>
            </w:r>
          </w:p>
        </w:tc>
        <w:tc>
          <w:tcPr>
            <w:tcW w:w="7733" w:type="dxa"/>
          </w:tcPr>
          <w:p w14:paraId="298D12E0" w14:textId="5029207A" w:rsidR="00380C76" w:rsidRPr="001D6DEE" w:rsidRDefault="00380C76" w:rsidP="00620E34">
            <w:pPr>
              <w:rPr>
                <w:rFonts w:ascii="PT Sans" w:hAnsi="PT Sans" w:cstheme="minorHAnsi"/>
                <w:sz w:val="20"/>
                <w:szCs w:val="20"/>
              </w:rPr>
            </w:pPr>
            <w:proofErr w:type="spellStart"/>
            <w:r w:rsidRPr="001D6DEE">
              <w:rPr>
                <w:rFonts w:ascii="PT Sans" w:hAnsi="PT Sans" w:cstheme="minorHAnsi"/>
                <w:sz w:val="20"/>
                <w:szCs w:val="20"/>
              </w:rPr>
              <w:t>Dr.</w:t>
            </w:r>
            <w:proofErr w:type="spellEnd"/>
            <w:r w:rsidRPr="001D6DEE">
              <w:rPr>
                <w:rFonts w:ascii="PT Sans" w:hAnsi="PT Sans" w:cstheme="minorHAnsi"/>
                <w:sz w:val="20"/>
                <w:szCs w:val="20"/>
              </w:rPr>
              <w:t xml:space="preserve"> Petra </w:t>
            </w:r>
            <w:proofErr w:type="spellStart"/>
            <w:r w:rsidRPr="001D6DEE">
              <w:rPr>
                <w:rFonts w:ascii="PT Sans" w:hAnsi="PT Sans" w:cstheme="minorHAnsi"/>
                <w:sz w:val="20"/>
                <w:szCs w:val="20"/>
              </w:rPr>
              <w:t>Hogervorst</w:t>
            </w:r>
            <w:proofErr w:type="spellEnd"/>
            <w:r w:rsidRPr="001D6DEE">
              <w:rPr>
                <w:rFonts w:ascii="PT Sans" w:hAnsi="PT Sans" w:cstheme="minorHAnsi"/>
                <w:sz w:val="20"/>
                <w:szCs w:val="20"/>
              </w:rPr>
              <w:t xml:space="preserve"> </w:t>
            </w:r>
          </w:p>
          <w:p w14:paraId="2419ECD3" w14:textId="249FCD39" w:rsidR="00380C76" w:rsidRPr="001D6DEE" w:rsidRDefault="00380C76" w:rsidP="00620E34">
            <w:pPr>
              <w:rPr>
                <w:rFonts w:ascii="PT Sans" w:hAnsi="PT Sans" w:cstheme="minorHAnsi"/>
                <w:sz w:val="20"/>
                <w:szCs w:val="20"/>
                <w:lang w:val="en-US"/>
              </w:rPr>
            </w:pPr>
            <w:r w:rsidRPr="001D6DEE">
              <w:rPr>
                <w:rFonts w:ascii="PT Sans" w:hAnsi="PT Sans" w:cstheme="minorHAnsi"/>
                <w:sz w:val="20"/>
                <w:szCs w:val="20"/>
                <w:lang w:val="en-US"/>
              </w:rPr>
              <w:t>Netherlands National Institute of Public Health and the Environment (RIVM)</w:t>
            </w:r>
          </w:p>
          <w:p w14:paraId="5F8FCD12" w14:textId="77777777" w:rsidR="005F41CE" w:rsidRPr="001D6DEE" w:rsidRDefault="005F41CE" w:rsidP="00620E34">
            <w:pPr>
              <w:rPr>
                <w:rFonts w:ascii="PT Sans" w:hAnsi="PT Sans" w:cstheme="minorHAnsi"/>
                <w:b/>
                <w:i/>
                <w:sz w:val="20"/>
                <w:szCs w:val="20"/>
                <w:lang w:val="en-US"/>
              </w:rPr>
            </w:pPr>
          </w:p>
          <w:p w14:paraId="7607BC05" w14:textId="5A7BEF15" w:rsidR="00380C76" w:rsidRPr="001D6DEE" w:rsidRDefault="00380C76" w:rsidP="00620E34">
            <w:pPr>
              <w:rPr>
                <w:rFonts w:ascii="PT Sans" w:hAnsi="PT Sans" w:cstheme="minorHAnsi"/>
                <w:b/>
                <w:i/>
                <w:sz w:val="20"/>
                <w:szCs w:val="20"/>
                <w:lang w:val="en-US"/>
              </w:rPr>
            </w:pPr>
            <w:r w:rsidRPr="001D6DEE">
              <w:rPr>
                <w:rFonts w:ascii="PT Sans" w:hAnsi="PT Sans" w:cstheme="minorHAnsi"/>
                <w:b/>
                <w:i/>
                <w:sz w:val="20"/>
                <w:szCs w:val="20"/>
                <w:lang w:val="en-US"/>
              </w:rPr>
              <w:t>Integral assessment of safety and sustainability</w:t>
            </w:r>
          </w:p>
          <w:p w14:paraId="0D171E19" w14:textId="54BDD0BF" w:rsidR="00380C76" w:rsidRPr="001D6DEE" w:rsidRDefault="00380C76" w:rsidP="006448BC">
            <w:pPr>
              <w:jc w:val="both"/>
              <w:rPr>
                <w:rFonts w:ascii="PT Sans" w:hAnsi="PT Sans" w:cstheme="minorHAnsi"/>
                <w:sz w:val="20"/>
                <w:szCs w:val="20"/>
                <w:lang w:val="en-US"/>
              </w:rPr>
            </w:pPr>
            <w:r w:rsidRPr="001D6DEE">
              <w:rPr>
                <w:rFonts w:ascii="PT Sans" w:hAnsi="PT Sans" w:cstheme="minorHAnsi"/>
                <w:sz w:val="20"/>
                <w:szCs w:val="20"/>
                <w:lang w:val="en-US"/>
              </w:rPr>
              <w:t>The transition towards a circular economy requires innovation, but also brings along new challenges for safety and sustainability.</w:t>
            </w:r>
            <w:r w:rsidR="007233EF" w:rsidRPr="001D6DEE">
              <w:rPr>
                <w:rFonts w:ascii="PT Sans" w:hAnsi="PT Sans" w:cstheme="minorHAnsi"/>
                <w:sz w:val="20"/>
                <w:szCs w:val="20"/>
                <w:lang w:val="en-US"/>
              </w:rPr>
              <w:t xml:space="preserve"> RIVM </w:t>
            </w:r>
            <w:r w:rsidRPr="001D6DEE">
              <w:rPr>
                <w:rFonts w:ascii="PT Sans" w:hAnsi="PT Sans" w:cstheme="minorHAnsi"/>
                <w:sz w:val="20"/>
                <w:szCs w:val="20"/>
                <w:lang w:val="en-US"/>
              </w:rPr>
              <w:t xml:space="preserve">increases the quality of circular solutions by helping the business community and government authorities in making choices and resolving dilemmas, for example by research on: safety of promising </w:t>
            </w:r>
            <w:r w:rsidR="007233EF" w:rsidRPr="001D6DEE">
              <w:rPr>
                <w:rFonts w:ascii="PT Sans" w:hAnsi="PT Sans" w:cstheme="minorHAnsi"/>
                <w:sz w:val="20"/>
                <w:szCs w:val="20"/>
                <w:lang w:val="en-US"/>
              </w:rPr>
              <w:t>bio based</w:t>
            </w:r>
            <w:r w:rsidRPr="001D6DEE">
              <w:rPr>
                <w:rFonts w:ascii="PT Sans" w:hAnsi="PT Sans" w:cstheme="minorHAnsi"/>
                <w:sz w:val="20"/>
                <w:szCs w:val="20"/>
                <w:lang w:val="en-US"/>
              </w:rPr>
              <w:t xml:space="preserve"> alternatives to controversial polar aprotic solvents; mapping well-known and popular sustainability analyses and developing a tool to make sustainability questions easier and transparent during innovation and production, and</w:t>
            </w:r>
            <w:r w:rsidR="007233EF" w:rsidRPr="001D6DEE">
              <w:rPr>
                <w:rFonts w:ascii="PT Sans" w:hAnsi="PT Sans" w:cstheme="minorHAnsi"/>
                <w:sz w:val="20"/>
                <w:szCs w:val="20"/>
                <w:lang w:val="en-US"/>
              </w:rPr>
              <w:t xml:space="preserve"> </w:t>
            </w:r>
            <w:r w:rsidRPr="001D6DEE">
              <w:rPr>
                <w:rFonts w:ascii="PT Sans" w:hAnsi="PT Sans" w:cstheme="minorHAnsi"/>
                <w:sz w:val="20"/>
                <w:szCs w:val="20"/>
                <w:lang w:val="en-US"/>
              </w:rPr>
              <w:t>developing a method for estimating the safety and sustainability of a product right at the beginning of a design process.</w:t>
            </w:r>
          </w:p>
          <w:p w14:paraId="119F1F24" w14:textId="3DF4DE7A" w:rsidR="00380C76" w:rsidRPr="001D6DEE" w:rsidRDefault="00380C76" w:rsidP="00620E34">
            <w:pPr>
              <w:rPr>
                <w:rFonts w:ascii="PT Sans" w:hAnsi="PT Sans" w:cstheme="minorHAnsi"/>
                <w:b/>
                <w:sz w:val="20"/>
                <w:szCs w:val="20"/>
                <w:lang w:val="en-US"/>
              </w:rPr>
            </w:pPr>
          </w:p>
        </w:tc>
      </w:tr>
      <w:tr w:rsidR="00684D0D" w:rsidRPr="001D6DEE" w14:paraId="66619C87" w14:textId="77777777" w:rsidTr="001D6DEE">
        <w:trPr>
          <w:gridAfter w:val="1"/>
          <w:wAfter w:w="7" w:type="dxa"/>
        </w:trPr>
        <w:tc>
          <w:tcPr>
            <w:tcW w:w="1576" w:type="dxa"/>
          </w:tcPr>
          <w:p w14:paraId="1133E6F8" w14:textId="77777777" w:rsidR="00380C76" w:rsidRPr="001D6DEE" w:rsidRDefault="00380C76" w:rsidP="00620E34">
            <w:pPr>
              <w:rPr>
                <w:rFonts w:ascii="PT Sans" w:hAnsi="PT Sans" w:cstheme="minorHAnsi"/>
                <w:b/>
                <w:color w:val="144A74"/>
                <w:sz w:val="20"/>
                <w:szCs w:val="20"/>
              </w:rPr>
            </w:pPr>
          </w:p>
        </w:tc>
        <w:tc>
          <w:tcPr>
            <w:tcW w:w="7733" w:type="dxa"/>
          </w:tcPr>
          <w:p w14:paraId="1D8B84B5" w14:textId="77777777" w:rsidR="005D30D6" w:rsidRPr="005D30D6" w:rsidRDefault="005D30D6" w:rsidP="005D30D6">
            <w:pPr>
              <w:rPr>
                <w:rFonts w:ascii="PT Sans" w:hAnsi="PT Sans" w:cstheme="minorHAnsi"/>
                <w:sz w:val="20"/>
                <w:szCs w:val="20"/>
              </w:rPr>
            </w:pPr>
            <w:proofErr w:type="spellStart"/>
            <w:r w:rsidRPr="005D30D6">
              <w:rPr>
                <w:rFonts w:ascii="PT Sans" w:hAnsi="PT Sans" w:cstheme="minorHAnsi"/>
                <w:sz w:val="20"/>
                <w:szCs w:val="20"/>
              </w:rPr>
              <w:t>Dr.</w:t>
            </w:r>
            <w:proofErr w:type="spellEnd"/>
            <w:r w:rsidRPr="005D30D6">
              <w:rPr>
                <w:rFonts w:ascii="PT Sans" w:hAnsi="PT Sans" w:cstheme="minorHAnsi"/>
                <w:sz w:val="20"/>
                <w:szCs w:val="20"/>
              </w:rPr>
              <w:t xml:space="preserve"> Jane Murray </w:t>
            </w:r>
          </w:p>
          <w:p w14:paraId="0C6ECC68" w14:textId="77777777" w:rsidR="005D30D6" w:rsidRPr="005D30D6" w:rsidRDefault="005D30D6" w:rsidP="005D30D6">
            <w:pPr>
              <w:rPr>
                <w:rFonts w:ascii="PT Sans" w:hAnsi="PT Sans" w:cstheme="minorHAnsi"/>
                <w:sz w:val="20"/>
                <w:szCs w:val="20"/>
              </w:rPr>
            </w:pPr>
            <w:r w:rsidRPr="005D30D6">
              <w:rPr>
                <w:rFonts w:ascii="PT Sans" w:hAnsi="PT Sans" w:cstheme="minorHAnsi"/>
                <w:sz w:val="20"/>
                <w:szCs w:val="20"/>
              </w:rPr>
              <w:t xml:space="preserve">Merck </w:t>
            </w:r>
            <w:proofErr w:type="spellStart"/>
            <w:r w:rsidRPr="005D30D6">
              <w:rPr>
                <w:rFonts w:ascii="PT Sans" w:hAnsi="PT Sans" w:cstheme="minorHAnsi"/>
                <w:sz w:val="20"/>
                <w:szCs w:val="20"/>
              </w:rPr>
              <w:t>KGaA</w:t>
            </w:r>
            <w:proofErr w:type="spellEnd"/>
          </w:p>
          <w:p w14:paraId="11A46230" w14:textId="77777777" w:rsidR="005D30D6" w:rsidRPr="005D30D6" w:rsidRDefault="005D30D6" w:rsidP="005D30D6">
            <w:pPr>
              <w:rPr>
                <w:rFonts w:ascii="PT Sans" w:hAnsi="PT Sans" w:cstheme="minorHAnsi"/>
                <w:sz w:val="20"/>
                <w:szCs w:val="20"/>
              </w:rPr>
            </w:pPr>
          </w:p>
          <w:p w14:paraId="6A578BF3" w14:textId="1F270155" w:rsidR="005D30D6" w:rsidRPr="005D30D6" w:rsidRDefault="005D30D6" w:rsidP="005D30D6">
            <w:pPr>
              <w:rPr>
                <w:rFonts w:ascii="PT Sans" w:hAnsi="PT Sans" w:cstheme="minorHAnsi"/>
                <w:b/>
                <w:i/>
                <w:sz w:val="20"/>
                <w:szCs w:val="20"/>
              </w:rPr>
            </w:pPr>
            <w:r w:rsidRPr="005D30D6">
              <w:rPr>
                <w:rFonts w:ascii="PT Sans" w:hAnsi="PT Sans" w:cstheme="minorHAnsi"/>
                <w:b/>
                <w:i/>
                <w:sz w:val="20"/>
                <w:szCs w:val="20"/>
              </w:rPr>
              <w:t xml:space="preserve">Commercial </w:t>
            </w:r>
            <w:r>
              <w:rPr>
                <w:rFonts w:ascii="PT Sans" w:hAnsi="PT Sans" w:cstheme="minorHAnsi"/>
                <w:b/>
                <w:i/>
                <w:sz w:val="20"/>
                <w:szCs w:val="20"/>
              </w:rPr>
              <w:t>i</w:t>
            </w:r>
            <w:r w:rsidRPr="005D30D6">
              <w:rPr>
                <w:rFonts w:ascii="PT Sans" w:hAnsi="PT Sans" w:cstheme="minorHAnsi"/>
                <w:b/>
                <w:i/>
                <w:sz w:val="20"/>
                <w:szCs w:val="20"/>
              </w:rPr>
              <w:t xml:space="preserve">ntroduction of </w:t>
            </w:r>
            <w:r>
              <w:rPr>
                <w:rFonts w:ascii="PT Sans" w:hAnsi="PT Sans" w:cstheme="minorHAnsi"/>
                <w:b/>
                <w:i/>
                <w:sz w:val="20"/>
                <w:szCs w:val="20"/>
              </w:rPr>
              <w:t>n</w:t>
            </w:r>
            <w:r w:rsidRPr="005D30D6">
              <w:rPr>
                <w:rFonts w:ascii="PT Sans" w:hAnsi="PT Sans" w:cstheme="minorHAnsi"/>
                <w:b/>
                <w:i/>
                <w:sz w:val="20"/>
                <w:szCs w:val="20"/>
              </w:rPr>
              <w:t xml:space="preserve">ovel </w:t>
            </w:r>
            <w:r>
              <w:rPr>
                <w:rFonts w:ascii="PT Sans" w:hAnsi="PT Sans" w:cstheme="minorHAnsi"/>
                <w:b/>
                <w:i/>
                <w:sz w:val="20"/>
                <w:szCs w:val="20"/>
              </w:rPr>
              <w:t>g</w:t>
            </w:r>
            <w:r w:rsidRPr="005D30D6">
              <w:rPr>
                <w:rFonts w:ascii="PT Sans" w:hAnsi="PT Sans" w:cstheme="minorHAnsi"/>
                <w:b/>
                <w:i/>
                <w:sz w:val="20"/>
                <w:szCs w:val="20"/>
              </w:rPr>
              <w:t xml:space="preserve">reen </w:t>
            </w:r>
            <w:r>
              <w:rPr>
                <w:rFonts w:ascii="PT Sans" w:hAnsi="PT Sans" w:cstheme="minorHAnsi"/>
                <w:b/>
                <w:i/>
                <w:sz w:val="20"/>
                <w:szCs w:val="20"/>
              </w:rPr>
              <w:t>s</w:t>
            </w:r>
            <w:r w:rsidRPr="005D30D6">
              <w:rPr>
                <w:rFonts w:ascii="PT Sans" w:hAnsi="PT Sans" w:cstheme="minorHAnsi"/>
                <w:b/>
                <w:i/>
                <w:sz w:val="20"/>
                <w:szCs w:val="20"/>
              </w:rPr>
              <w:t xml:space="preserve">olvents to the </w:t>
            </w:r>
            <w:r>
              <w:rPr>
                <w:rFonts w:ascii="PT Sans" w:hAnsi="PT Sans" w:cstheme="minorHAnsi"/>
                <w:b/>
                <w:i/>
                <w:sz w:val="20"/>
                <w:szCs w:val="20"/>
              </w:rPr>
              <w:t>g</w:t>
            </w:r>
            <w:r w:rsidRPr="005D30D6">
              <w:rPr>
                <w:rFonts w:ascii="PT Sans" w:hAnsi="PT Sans" w:cstheme="minorHAnsi"/>
                <w:b/>
                <w:i/>
                <w:sz w:val="20"/>
                <w:szCs w:val="20"/>
              </w:rPr>
              <w:t xml:space="preserve">lobal </w:t>
            </w:r>
            <w:r>
              <w:rPr>
                <w:rFonts w:ascii="PT Sans" w:hAnsi="PT Sans" w:cstheme="minorHAnsi"/>
                <w:b/>
                <w:i/>
                <w:sz w:val="20"/>
                <w:szCs w:val="20"/>
              </w:rPr>
              <w:t>s</w:t>
            </w:r>
            <w:r w:rsidRPr="005D30D6">
              <w:rPr>
                <w:rFonts w:ascii="PT Sans" w:hAnsi="PT Sans" w:cstheme="minorHAnsi"/>
                <w:b/>
                <w:i/>
                <w:sz w:val="20"/>
                <w:szCs w:val="20"/>
              </w:rPr>
              <w:t xml:space="preserve">cientific </w:t>
            </w:r>
            <w:r>
              <w:rPr>
                <w:rFonts w:ascii="PT Sans" w:hAnsi="PT Sans" w:cstheme="minorHAnsi"/>
                <w:b/>
                <w:i/>
                <w:sz w:val="20"/>
                <w:szCs w:val="20"/>
              </w:rPr>
              <w:t>c</w:t>
            </w:r>
            <w:r w:rsidRPr="005D30D6">
              <w:rPr>
                <w:rFonts w:ascii="PT Sans" w:hAnsi="PT Sans" w:cstheme="minorHAnsi"/>
                <w:b/>
                <w:i/>
                <w:sz w:val="20"/>
                <w:szCs w:val="20"/>
              </w:rPr>
              <w:t>ommunity</w:t>
            </w:r>
          </w:p>
          <w:p w14:paraId="3BA0D22D" w14:textId="77777777" w:rsidR="005D30D6" w:rsidRPr="005D30D6" w:rsidRDefault="005D30D6" w:rsidP="005D30D6">
            <w:pPr>
              <w:jc w:val="both"/>
              <w:rPr>
                <w:rFonts w:ascii="PT Sans" w:hAnsi="PT Sans" w:cstheme="minorHAnsi"/>
                <w:sz w:val="20"/>
                <w:szCs w:val="20"/>
              </w:rPr>
            </w:pPr>
            <w:r w:rsidRPr="005D30D6">
              <w:rPr>
                <w:rFonts w:ascii="PT Sans" w:hAnsi="PT Sans" w:cstheme="minorHAnsi"/>
                <w:sz w:val="20"/>
                <w:szCs w:val="20"/>
              </w:rPr>
              <w:t xml:space="preserve">Increasing the availability and application of greener solvents is a key goal of Merck </w:t>
            </w:r>
            <w:proofErr w:type="spellStart"/>
            <w:r w:rsidRPr="005D30D6">
              <w:rPr>
                <w:rFonts w:ascii="PT Sans" w:hAnsi="PT Sans" w:cstheme="minorHAnsi"/>
                <w:sz w:val="20"/>
                <w:szCs w:val="20"/>
              </w:rPr>
              <w:t>KGaA’s</w:t>
            </w:r>
            <w:proofErr w:type="spellEnd"/>
            <w:r w:rsidRPr="005D30D6">
              <w:rPr>
                <w:rFonts w:ascii="PT Sans" w:hAnsi="PT Sans" w:cstheme="minorHAnsi"/>
                <w:sz w:val="20"/>
                <w:szCs w:val="20"/>
              </w:rPr>
              <w:t xml:space="preserve"> green chemistry program. This talk will outline the importance of innovation partnerships, including </w:t>
            </w:r>
            <w:proofErr w:type="spellStart"/>
            <w:r w:rsidRPr="005D30D6">
              <w:rPr>
                <w:rFonts w:ascii="PT Sans" w:hAnsi="PT Sans" w:cstheme="minorHAnsi"/>
                <w:sz w:val="20"/>
                <w:szCs w:val="20"/>
              </w:rPr>
              <w:t>ReSolve</w:t>
            </w:r>
            <w:proofErr w:type="spellEnd"/>
            <w:r w:rsidRPr="005D30D6">
              <w:rPr>
                <w:rFonts w:ascii="PT Sans" w:hAnsi="PT Sans" w:cstheme="minorHAnsi"/>
                <w:sz w:val="20"/>
                <w:szCs w:val="20"/>
              </w:rPr>
              <w:t>, in bringing new technologies to our portfolio. We will also discuss how we increase awareness of new technologies and facilitate our customers’ switch to sustainable alternatives through our green chemistry education programs.</w:t>
            </w:r>
          </w:p>
          <w:p w14:paraId="2A179952" w14:textId="77777777" w:rsidR="00380C76" w:rsidRPr="001D6DEE" w:rsidRDefault="00380C76" w:rsidP="00620E34">
            <w:pPr>
              <w:rPr>
                <w:rFonts w:ascii="PT Sans" w:hAnsi="PT Sans" w:cstheme="minorHAnsi"/>
                <w:b/>
                <w:sz w:val="20"/>
                <w:szCs w:val="20"/>
                <w:lang w:val="en-US"/>
              </w:rPr>
            </w:pPr>
          </w:p>
        </w:tc>
      </w:tr>
      <w:tr w:rsidR="00FD66CE" w:rsidRPr="00FD66CE" w14:paraId="4E6955C4" w14:textId="77777777" w:rsidTr="001D6DEE">
        <w:trPr>
          <w:gridAfter w:val="1"/>
          <w:wAfter w:w="7" w:type="dxa"/>
        </w:trPr>
        <w:tc>
          <w:tcPr>
            <w:tcW w:w="1576" w:type="dxa"/>
          </w:tcPr>
          <w:p w14:paraId="49BEDAA8" w14:textId="35047AED" w:rsidR="00380C76" w:rsidRPr="00FD66CE" w:rsidRDefault="00380C76" w:rsidP="00620E34">
            <w:pPr>
              <w:rPr>
                <w:rFonts w:ascii="PT Sans" w:hAnsi="PT Sans" w:cstheme="minorHAnsi"/>
                <w:b/>
                <w:color w:val="144A74"/>
                <w:sz w:val="20"/>
                <w:szCs w:val="20"/>
              </w:rPr>
            </w:pPr>
            <w:r w:rsidRPr="00FD66CE">
              <w:rPr>
                <w:rFonts w:ascii="PT Sans" w:hAnsi="PT Sans" w:cstheme="minorHAnsi"/>
                <w:b/>
                <w:color w:val="144A74"/>
                <w:sz w:val="20"/>
                <w:szCs w:val="20"/>
              </w:rPr>
              <w:t>14:</w:t>
            </w:r>
            <w:r w:rsidR="0096071E">
              <w:rPr>
                <w:rFonts w:ascii="PT Sans" w:hAnsi="PT Sans" w:cstheme="minorHAnsi"/>
                <w:b/>
                <w:color w:val="144A74"/>
                <w:sz w:val="20"/>
                <w:szCs w:val="20"/>
              </w:rPr>
              <w:t>00</w:t>
            </w:r>
            <w:r w:rsidRPr="00FD66CE">
              <w:rPr>
                <w:rFonts w:ascii="PT Sans" w:hAnsi="PT Sans" w:cstheme="minorHAnsi"/>
                <w:b/>
                <w:color w:val="144A74"/>
                <w:sz w:val="20"/>
                <w:szCs w:val="20"/>
              </w:rPr>
              <w:tab/>
            </w:r>
          </w:p>
        </w:tc>
        <w:tc>
          <w:tcPr>
            <w:tcW w:w="7733" w:type="dxa"/>
          </w:tcPr>
          <w:p w14:paraId="123D22B6" w14:textId="563E5F26" w:rsidR="00380C76" w:rsidRPr="00FD66CE" w:rsidRDefault="00380C76" w:rsidP="00620E34">
            <w:pPr>
              <w:rPr>
                <w:rFonts w:ascii="PT Sans" w:hAnsi="PT Sans" w:cstheme="minorHAnsi"/>
                <w:b/>
                <w:color w:val="144A74"/>
                <w:sz w:val="20"/>
                <w:szCs w:val="20"/>
              </w:rPr>
            </w:pPr>
            <w:r w:rsidRPr="00FD66CE">
              <w:rPr>
                <w:rFonts w:ascii="PT Sans" w:hAnsi="PT Sans" w:cstheme="minorHAnsi"/>
                <w:b/>
                <w:color w:val="144A74"/>
                <w:sz w:val="20"/>
                <w:szCs w:val="20"/>
              </w:rPr>
              <w:t>Coffee break</w:t>
            </w:r>
          </w:p>
        </w:tc>
      </w:tr>
      <w:tr w:rsidR="00FD66CE" w:rsidRPr="00FD66CE" w14:paraId="442C1B91" w14:textId="77777777" w:rsidTr="001D6DEE">
        <w:trPr>
          <w:gridAfter w:val="1"/>
          <w:wAfter w:w="7" w:type="dxa"/>
        </w:trPr>
        <w:tc>
          <w:tcPr>
            <w:tcW w:w="1576" w:type="dxa"/>
          </w:tcPr>
          <w:p w14:paraId="3A0C1C24" w14:textId="432155E9" w:rsidR="00380C76" w:rsidRPr="00FD66CE" w:rsidRDefault="00380C76" w:rsidP="00620E34">
            <w:pPr>
              <w:rPr>
                <w:rFonts w:ascii="PT Sans" w:hAnsi="PT Sans" w:cstheme="minorHAnsi"/>
                <w:b/>
                <w:color w:val="144A74"/>
                <w:sz w:val="20"/>
                <w:szCs w:val="20"/>
              </w:rPr>
            </w:pPr>
            <w:r w:rsidRPr="00FD66CE">
              <w:rPr>
                <w:rFonts w:ascii="PT Sans" w:hAnsi="PT Sans" w:cstheme="minorHAnsi"/>
                <w:b/>
                <w:color w:val="144A74"/>
                <w:sz w:val="20"/>
                <w:szCs w:val="20"/>
              </w:rPr>
              <w:t>14:</w:t>
            </w:r>
            <w:r w:rsidR="0096071E">
              <w:rPr>
                <w:rFonts w:ascii="PT Sans" w:hAnsi="PT Sans" w:cstheme="minorHAnsi"/>
                <w:b/>
                <w:color w:val="144A74"/>
                <w:sz w:val="20"/>
                <w:szCs w:val="20"/>
              </w:rPr>
              <w:t>15</w:t>
            </w:r>
          </w:p>
        </w:tc>
        <w:tc>
          <w:tcPr>
            <w:tcW w:w="7733" w:type="dxa"/>
          </w:tcPr>
          <w:p w14:paraId="0D77B374" w14:textId="56FBAB43" w:rsidR="00380C76" w:rsidRPr="00FD66CE" w:rsidRDefault="00380C76" w:rsidP="00620E34">
            <w:pPr>
              <w:rPr>
                <w:rFonts w:ascii="PT Sans" w:hAnsi="PT Sans" w:cstheme="minorHAnsi"/>
                <w:b/>
                <w:color w:val="144A74"/>
                <w:sz w:val="20"/>
                <w:szCs w:val="20"/>
              </w:rPr>
            </w:pPr>
            <w:r w:rsidRPr="00FD66CE">
              <w:rPr>
                <w:rFonts w:ascii="PT Sans" w:hAnsi="PT Sans" w:cstheme="minorHAnsi"/>
                <w:b/>
                <w:color w:val="144A74"/>
                <w:sz w:val="20"/>
                <w:szCs w:val="20"/>
              </w:rPr>
              <w:t xml:space="preserve">Session 2: </w:t>
            </w:r>
            <w:proofErr w:type="spellStart"/>
            <w:r w:rsidRPr="00FD66CE">
              <w:rPr>
                <w:rFonts w:ascii="PT Sans" w:hAnsi="PT Sans" w:cstheme="minorHAnsi"/>
                <w:b/>
                <w:color w:val="144A74"/>
                <w:sz w:val="20"/>
                <w:szCs w:val="20"/>
              </w:rPr>
              <w:t>ReSolve</w:t>
            </w:r>
            <w:proofErr w:type="spellEnd"/>
            <w:r w:rsidRPr="00FD66CE">
              <w:rPr>
                <w:rFonts w:ascii="PT Sans" w:hAnsi="PT Sans" w:cstheme="minorHAnsi"/>
                <w:b/>
                <w:color w:val="144A74"/>
                <w:sz w:val="20"/>
                <w:szCs w:val="20"/>
              </w:rPr>
              <w:t xml:space="preserve"> project results so far</w:t>
            </w:r>
          </w:p>
        </w:tc>
      </w:tr>
      <w:tr w:rsidR="00684D0D" w:rsidRPr="001D6DEE" w14:paraId="69493CA0" w14:textId="77777777" w:rsidTr="00FD66CE">
        <w:trPr>
          <w:gridAfter w:val="1"/>
          <w:wAfter w:w="7" w:type="dxa"/>
        </w:trPr>
        <w:tc>
          <w:tcPr>
            <w:tcW w:w="1576" w:type="dxa"/>
          </w:tcPr>
          <w:p w14:paraId="34A3EE79" w14:textId="22A5CEA8" w:rsidR="00380C76" w:rsidRPr="001D6DEE" w:rsidRDefault="003A4760" w:rsidP="00FD66CE">
            <w:pPr>
              <w:jc w:val="center"/>
              <w:rPr>
                <w:rFonts w:ascii="PT Sans" w:hAnsi="PT Sans" w:cstheme="minorHAnsi"/>
                <w:b/>
                <w:color w:val="144A74"/>
                <w:sz w:val="20"/>
                <w:szCs w:val="20"/>
              </w:rPr>
            </w:pPr>
            <w:r w:rsidRPr="001D6DEE">
              <w:rPr>
                <w:rFonts w:ascii="PT Sans" w:hAnsi="PT Sans"/>
                <w:noProof/>
                <w:color w:val="144A74"/>
                <w:sz w:val="20"/>
                <w:szCs w:val="20"/>
                <w:lang w:val="en-US"/>
              </w:rPr>
              <w:drawing>
                <wp:anchor distT="0" distB="0" distL="114300" distR="114300" simplePos="0" relativeHeight="251666432" behindDoc="0" locked="0" layoutInCell="1" allowOverlap="1" wp14:anchorId="14DB835C" wp14:editId="7024D62F">
                  <wp:simplePos x="0" y="0"/>
                  <wp:positionH relativeFrom="column">
                    <wp:posOffset>200170</wp:posOffset>
                  </wp:positionH>
                  <wp:positionV relativeFrom="paragraph">
                    <wp:posOffset>64760</wp:posOffset>
                  </wp:positionV>
                  <wp:extent cx="681990" cy="811530"/>
                  <wp:effectExtent l="0" t="0" r="3810" b="127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0857"/>
                          <a:stretch/>
                        </pic:blipFill>
                        <pic:spPr bwMode="auto">
                          <a:xfrm>
                            <a:off x="0" y="0"/>
                            <a:ext cx="681990" cy="811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A6CE1" w14:textId="5D125077" w:rsidR="0005284C" w:rsidRPr="001D6DEE" w:rsidRDefault="0005284C" w:rsidP="00FD66CE">
            <w:pPr>
              <w:jc w:val="center"/>
              <w:rPr>
                <w:rFonts w:ascii="PT Sans" w:hAnsi="PT Sans" w:cstheme="minorHAnsi"/>
                <w:b/>
                <w:color w:val="144A74"/>
                <w:sz w:val="20"/>
                <w:szCs w:val="20"/>
              </w:rPr>
            </w:pPr>
          </w:p>
        </w:tc>
        <w:tc>
          <w:tcPr>
            <w:tcW w:w="7733" w:type="dxa"/>
          </w:tcPr>
          <w:p w14:paraId="2BD0F1E3" w14:textId="77777777" w:rsidR="000556B8" w:rsidRPr="001D6DEE" w:rsidRDefault="00380C76" w:rsidP="00620E34">
            <w:pPr>
              <w:rPr>
                <w:rFonts w:ascii="PT Sans" w:hAnsi="PT Sans" w:cstheme="minorHAnsi"/>
                <w:sz w:val="20"/>
                <w:szCs w:val="20"/>
              </w:rPr>
            </w:pPr>
            <w:r w:rsidRPr="001D6DEE">
              <w:rPr>
                <w:rFonts w:ascii="PT Sans" w:hAnsi="PT Sans" w:cstheme="minorHAnsi"/>
                <w:sz w:val="20"/>
                <w:szCs w:val="20"/>
              </w:rPr>
              <w:t xml:space="preserve">Prof. James Clark </w:t>
            </w:r>
          </w:p>
          <w:p w14:paraId="7172D7EB" w14:textId="646FCAA6" w:rsidR="00380C76" w:rsidRPr="001D6DEE" w:rsidRDefault="00380C76" w:rsidP="00620E34">
            <w:pPr>
              <w:rPr>
                <w:rFonts w:ascii="PT Sans" w:hAnsi="PT Sans" w:cstheme="minorHAnsi"/>
                <w:sz w:val="20"/>
                <w:szCs w:val="20"/>
              </w:rPr>
            </w:pPr>
            <w:r w:rsidRPr="001D6DEE">
              <w:rPr>
                <w:rFonts w:ascii="PT Sans" w:hAnsi="PT Sans" w:cstheme="minorHAnsi"/>
                <w:sz w:val="20"/>
                <w:szCs w:val="20"/>
              </w:rPr>
              <w:t>University of York</w:t>
            </w:r>
          </w:p>
          <w:p w14:paraId="705AFD1E" w14:textId="77777777" w:rsidR="008F0936" w:rsidRPr="001D6DEE" w:rsidRDefault="008F0936" w:rsidP="00620E34">
            <w:pPr>
              <w:rPr>
                <w:rFonts w:ascii="PT Sans" w:hAnsi="PT Sans" w:cstheme="minorHAnsi"/>
                <w:b/>
                <w:i/>
                <w:sz w:val="20"/>
                <w:szCs w:val="20"/>
              </w:rPr>
            </w:pPr>
          </w:p>
          <w:p w14:paraId="2FBE3253" w14:textId="239A4522" w:rsidR="000556B8" w:rsidRPr="001D6DEE" w:rsidRDefault="000556B8" w:rsidP="00620E34">
            <w:pPr>
              <w:rPr>
                <w:rFonts w:ascii="PT Sans" w:hAnsi="PT Sans" w:cstheme="minorHAnsi"/>
                <w:b/>
                <w:i/>
                <w:sz w:val="20"/>
                <w:szCs w:val="20"/>
              </w:rPr>
            </w:pPr>
            <w:r w:rsidRPr="001D6DEE">
              <w:rPr>
                <w:rFonts w:ascii="PT Sans" w:hAnsi="PT Sans" w:cstheme="minorHAnsi"/>
                <w:b/>
                <w:i/>
                <w:sz w:val="20"/>
                <w:szCs w:val="20"/>
              </w:rPr>
              <w:t>Introduction and highlights</w:t>
            </w:r>
          </w:p>
          <w:p w14:paraId="76A1E270" w14:textId="3CD41194" w:rsidR="008F0936" w:rsidRPr="001D6DEE" w:rsidRDefault="008F0936" w:rsidP="008F0936">
            <w:pPr>
              <w:jc w:val="both"/>
              <w:rPr>
                <w:rFonts w:ascii="PT Sans" w:hAnsi="PT Sans" w:cstheme="minorHAnsi"/>
                <w:sz w:val="20"/>
                <w:szCs w:val="20"/>
              </w:rPr>
            </w:pPr>
            <w:r w:rsidRPr="001D6DEE">
              <w:rPr>
                <w:rFonts w:ascii="PT Sans" w:hAnsi="PT Sans" w:cstheme="minorHAnsi"/>
                <w:sz w:val="20"/>
                <w:szCs w:val="20"/>
              </w:rPr>
              <w:t xml:space="preserve">The replacement </w:t>
            </w:r>
            <w:bookmarkStart w:id="0" w:name="_GoBack"/>
            <w:bookmarkEnd w:id="0"/>
            <w:r w:rsidRPr="001D6DEE">
              <w:rPr>
                <w:rFonts w:ascii="PT Sans" w:hAnsi="PT Sans" w:cstheme="minorHAnsi"/>
                <w:sz w:val="20"/>
                <w:szCs w:val="20"/>
              </w:rPr>
              <w:t>of toxic and hazardous solvents with safer and more sustainable alternatives is one of the greatest current challenges in green chemistry and clean manufacturing.</w:t>
            </w:r>
          </w:p>
          <w:p w14:paraId="3B78C7EB" w14:textId="25B7AB1F" w:rsidR="008F0936" w:rsidRPr="001D6DEE" w:rsidRDefault="008F0936" w:rsidP="008F0936">
            <w:pPr>
              <w:jc w:val="both"/>
              <w:rPr>
                <w:rFonts w:ascii="PT Sans" w:hAnsi="PT Sans" w:cstheme="minorHAnsi"/>
                <w:sz w:val="20"/>
                <w:szCs w:val="20"/>
              </w:rPr>
            </w:pPr>
            <w:r w:rsidRPr="001D6DEE">
              <w:rPr>
                <w:rFonts w:ascii="PT Sans" w:hAnsi="PT Sans" w:cstheme="minorHAnsi"/>
                <w:sz w:val="20"/>
                <w:szCs w:val="20"/>
              </w:rPr>
              <w:t xml:space="preserve">The BBI project Resolve is tackling this challenge with a multidisciplinary team drawn from industry, business and academia with the aim of developing new bio-based solvents that can replace polar aprotic amide solvents and toluene.  Polar aprotic solvents have been hit especially hard by new legislation notably REACH with many being classified as repro-toxins; virtually all of the current commercial solvents also suffer from the presence of hetero atoms such as N or S that can cause problems in any final disposal process.  Like most amides, toluene is now restricted in use.  All of these solvents have a remarkably diverse range of applications and their replacements are unlikely to be based on “drop ins” but are more likely to be tailor-made for an application.  </w:t>
            </w:r>
            <w:proofErr w:type="spellStart"/>
            <w:r w:rsidRPr="001D6DEE">
              <w:rPr>
                <w:rFonts w:ascii="PT Sans" w:hAnsi="PT Sans" w:cstheme="minorHAnsi"/>
                <w:sz w:val="20"/>
                <w:szCs w:val="20"/>
              </w:rPr>
              <w:t>R</w:t>
            </w:r>
            <w:r w:rsidR="00C91F7F">
              <w:rPr>
                <w:rFonts w:ascii="PT Sans" w:hAnsi="PT Sans" w:cstheme="minorHAnsi"/>
                <w:sz w:val="20"/>
                <w:szCs w:val="20"/>
              </w:rPr>
              <w:t>e</w:t>
            </w:r>
            <w:r w:rsidRPr="001D6DEE">
              <w:rPr>
                <w:rFonts w:ascii="PT Sans" w:hAnsi="PT Sans" w:cstheme="minorHAnsi"/>
                <w:sz w:val="20"/>
                <w:szCs w:val="20"/>
              </w:rPr>
              <w:t>S</w:t>
            </w:r>
            <w:r w:rsidR="00C91F7F">
              <w:rPr>
                <w:rFonts w:ascii="PT Sans" w:hAnsi="PT Sans" w:cstheme="minorHAnsi"/>
                <w:sz w:val="20"/>
                <w:szCs w:val="20"/>
              </w:rPr>
              <w:t>olve</w:t>
            </w:r>
            <w:proofErr w:type="spellEnd"/>
            <w:r w:rsidRPr="001D6DEE">
              <w:rPr>
                <w:rFonts w:ascii="PT Sans" w:hAnsi="PT Sans" w:cstheme="minorHAnsi"/>
                <w:sz w:val="20"/>
                <w:szCs w:val="20"/>
              </w:rPr>
              <w:t xml:space="preserve"> has </w:t>
            </w:r>
            <w:r w:rsidRPr="001D6DEE">
              <w:rPr>
                <w:rFonts w:ascii="PT Sans" w:hAnsi="PT Sans" w:cstheme="minorHAnsi"/>
                <w:sz w:val="20"/>
                <w:szCs w:val="20"/>
              </w:rPr>
              <w:lastRenderedPageBreak/>
              <w:t xml:space="preserve">already identified a number of </w:t>
            </w:r>
            <w:r w:rsidR="00C91F7F" w:rsidRPr="001D6DEE">
              <w:rPr>
                <w:rFonts w:ascii="PT Sans" w:hAnsi="PT Sans" w:cstheme="minorHAnsi"/>
                <w:sz w:val="20"/>
                <w:szCs w:val="20"/>
              </w:rPr>
              <w:t>promising solvents</w:t>
            </w:r>
            <w:r w:rsidRPr="001D6DEE">
              <w:rPr>
                <w:rFonts w:ascii="PT Sans" w:hAnsi="PT Sans" w:cstheme="minorHAnsi"/>
                <w:sz w:val="20"/>
                <w:szCs w:val="20"/>
              </w:rPr>
              <w:t xml:space="preserve"> and is helping to identify where they can be used as cost-effective, bio-based and safe solutions.   Subsequent talks will highlight two of these both of which have passed our strict </w:t>
            </w:r>
            <w:r w:rsidR="00C91F7F" w:rsidRPr="001D6DEE">
              <w:rPr>
                <w:rFonts w:ascii="PT Sans" w:hAnsi="PT Sans" w:cstheme="minorHAnsi"/>
                <w:sz w:val="20"/>
                <w:szCs w:val="20"/>
              </w:rPr>
              <w:t>criteria for</w:t>
            </w:r>
            <w:r w:rsidRPr="001D6DEE">
              <w:rPr>
                <w:rFonts w:ascii="PT Sans" w:hAnsi="PT Sans" w:cstheme="minorHAnsi"/>
                <w:sz w:val="20"/>
                <w:szCs w:val="20"/>
              </w:rPr>
              <w:t xml:space="preserve"> classification as being green and sustainable, and commercially </w:t>
            </w:r>
            <w:r w:rsidR="00C91F7F" w:rsidRPr="001D6DEE">
              <w:rPr>
                <w:rFonts w:ascii="PT Sans" w:hAnsi="PT Sans" w:cstheme="minorHAnsi"/>
                <w:sz w:val="20"/>
                <w:szCs w:val="20"/>
              </w:rPr>
              <w:t>viable, and</w:t>
            </w:r>
            <w:r w:rsidRPr="001D6DEE">
              <w:rPr>
                <w:rFonts w:ascii="PT Sans" w:hAnsi="PT Sans" w:cstheme="minorHAnsi"/>
                <w:sz w:val="20"/>
                <w:szCs w:val="20"/>
              </w:rPr>
              <w:t xml:space="preserve"> where we can show a diverse range of successful applications.</w:t>
            </w:r>
          </w:p>
          <w:p w14:paraId="5DD25665" w14:textId="78930964" w:rsidR="006448BC" w:rsidRPr="001D6DEE" w:rsidRDefault="006448BC" w:rsidP="00620E34">
            <w:pPr>
              <w:rPr>
                <w:rFonts w:ascii="PT Sans" w:hAnsi="PT Sans" w:cstheme="minorHAnsi"/>
                <w:sz w:val="20"/>
                <w:szCs w:val="20"/>
              </w:rPr>
            </w:pPr>
          </w:p>
        </w:tc>
      </w:tr>
      <w:tr w:rsidR="00C91F7F" w:rsidRPr="001D6DEE" w14:paraId="77A148E2" w14:textId="77777777" w:rsidTr="00FD66CE">
        <w:trPr>
          <w:gridAfter w:val="1"/>
          <w:wAfter w:w="7" w:type="dxa"/>
        </w:trPr>
        <w:tc>
          <w:tcPr>
            <w:tcW w:w="1576" w:type="dxa"/>
          </w:tcPr>
          <w:p w14:paraId="69814D80" w14:textId="691B4521" w:rsidR="00C91F7F" w:rsidRPr="001D6DEE" w:rsidRDefault="00C91F7F" w:rsidP="00C91F7F">
            <w:pPr>
              <w:jc w:val="center"/>
              <w:rPr>
                <w:rFonts w:ascii="PT Sans" w:hAnsi="PT Sans"/>
                <w:noProof/>
                <w:color w:val="144A74"/>
                <w:sz w:val="20"/>
                <w:szCs w:val="20"/>
                <w:lang w:val="en-US"/>
              </w:rPr>
            </w:pPr>
            <w:r w:rsidRPr="001D6DEE">
              <w:rPr>
                <w:rFonts w:ascii="PT Sans" w:hAnsi="PT Sans" w:cstheme="minorHAnsi"/>
                <w:b/>
                <w:noProof/>
                <w:color w:val="144A74"/>
                <w:sz w:val="20"/>
                <w:szCs w:val="20"/>
              </w:rPr>
              <w:lastRenderedPageBreak/>
              <w:drawing>
                <wp:anchor distT="0" distB="0" distL="114300" distR="114300" simplePos="0" relativeHeight="251674624" behindDoc="1" locked="0" layoutInCell="1" allowOverlap="1" wp14:anchorId="5637F4A7" wp14:editId="5B4BA4B6">
                  <wp:simplePos x="0" y="0"/>
                  <wp:positionH relativeFrom="column">
                    <wp:posOffset>139700</wp:posOffset>
                  </wp:positionH>
                  <wp:positionV relativeFrom="paragraph">
                    <wp:posOffset>86649</wp:posOffset>
                  </wp:positionV>
                  <wp:extent cx="714375" cy="787400"/>
                  <wp:effectExtent l="12700" t="12700" r="9525" b="12700"/>
                  <wp:wrapTight wrapText="bothSides">
                    <wp:wrapPolygon edited="0">
                      <wp:start x="-384" y="-348"/>
                      <wp:lineTo x="-384" y="21600"/>
                      <wp:lineTo x="21504" y="21600"/>
                      <wp:lineTo x="21504" y="-348"/>
                      <wp:lineTo x="-384" y="-34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bara1.png"/>
                          <pic:cNvPicPr/>
                        </pic:nvPicPr>
                        <pic:blipFill>
                          <a:blip r:embed="rId9">
                            <a:extLst>
                              <a:ext uri="{28A0092B-C50C-407E-A947-70E740481C1C}">
                                <a14:useLocalDpi xmlns:a14="http://schemas.microsoft.com/office/drawing/2010/main" val="0"/>
                              </a:ext>
                            </a:extLst>
                          </a:blip>
                          <a:stretch>
                            <a:fillRect/>
                          </a:stretch>
                        </pic:blipFill>
                        <pic:spPr>
                          <a:xfrm>
                            <a:off x="0" y="0"/>
                            <a:ext cx="714375" cy="7874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tc>
        <w:tc>
          <w:tcPr>
            <w:tcW w:w="7733" w:type="dxa"/>
          </w:tcPr>
          <w:p w14:paraId="4CC05384" w14:textId="77777777" w:rsidR="00C91F7F" w:rsidRPr="001D6DEE" w:rsidRDefault="00C91F7F" w:rsidP="00C91F7F">
            <w:pPr>
              <w:rPr>
                <w:rFonts w:ascii="PT Sans" w:hAnsi="PT Sans" w:cstheme="minorHAnsi"/>
                <w:sz w:val="20"/>
                <w:szCs w:val="20"/>
                <w:lang w:val="de-DE"/>
              </w:rPr>
            </w:pPr>
            <w:r w:rsidRPr="001D6DEE">
              <w:rPr>
                <w:rFonts w:ascii="PT Sans" w:hAnsi="PT Sans" w:cstheme="minorHAnsi"/>
                <w:sz w:val="20"/>
                <w:szCs w:val="20"/>
                <w:lang w:val="de-DE"/>
              </w:rPr>
              <w:t xml:space="preserve">Dr. Barbara M. A. van </w:t>
            </w:r>
            <w:proofErr w:type="spellStart"/>
            <w:r w:rsidRPr="001D6DEE">
              <w:rPr>
                <w:rFonts w:ascii="PT Sans" w:hAnsi="PT Sans" w:cstheme="minorHAnsi"/>
                <w:sz w:val="20"/>
                <w:szCs w:val="20"/>
                <w:lang w:val="de-DE"/>
              </w:rPr>
              <w:t>Vugt-Lussenburg</w:t>
            </w:r>
            <w:proofErr w:type="spellEnd"/>
          </w:p>
          <w:p w14:paraId="0950DA42" w14:textId="77777777" w:rsidR="00C91F7F" w:rsidRPr="001D6DEE" w:rsidRDefault="00C91F7F" w:rsidP="00C91F7F">
            <w:pPr>
              <w:rPr>
                <w:rFonts w:ascii="PT Sans" w:hAnsi="PT Sans" w:cstheme="minorHAnsi"/>
                <w:sz w:val="20"/>
                <w:szCs w:val="20"/>
              </w:rPr>
            </w:pPr>
            <w:proofErr w:type="spellStart"/>
            <w:r w:rsidRPr="001D6DEE">
              <w:rPr>
                <w:rFonts w:ascii="PT Sans" w:hAnsi="PT Sans" w:cstheme="minorHAnsi"/>
                <w:sz w:val="20"/>
                <w:szCs w:val="20"/>
              </w:rPr>
              <w:t>BioDetection</w:t>
            </w:r>
            <w:proofErr w:type="spellEnd"/>
            <w:r w:rsidRPr="001D6DEE">
              <w:rPr>
                <w:rFonts w:ascii="PT Sans" w:hAnsi="PT Sans" w:cstheme="minorHAnsi"/>
                <w:sz w:val="20"/>
                <w:szCs w:val="20"/>
              </w:rPr>
              <w:t xml:space="preserve"> Systems</w:t>
            </w:r>
          </w:p>
          <w:p w14:paraId="7DD1BE49" w14:textId="77777777" w:rsidR="00C91F7F" w:rsidRPr="00FD66CE" w:rsidRDefault="00C91F7F" w:rsidP="00C91F7F">
            <w:pPr>
              <w:rPr>
                <w:rFonts w:ascii="PT Sans" w:hAnsi="PT Sans" w:cstheme="minorHAnsi"/>
                <w:b/>
                <w:i/>
                <w:sz w:val="18"/>
                <w:szCs w:val="20"/>
                <w:lang w:val="en-US"/>
              </w:rPr>
            </w:pPr>
          </w:p>
          <w:p w14:paraId="727DEC14" w14:textId="77777777" w:rsidR="00C91F7F" w:rsidRPr="001D6DEE" w:rsidRDefault="00C91F7F" w:rsidP="00C91F7F">
            <w:pPr>
              <w:rPr>
                <w:rFonts w:ascii="PT Sans" w:hAnsi="PT Sans" w:cstheme="minorHAnsi"/>
                <w:b/>
                <w:i/>
                <w:sz w:val="20"/>
                <w:szCs w:val="20"/>
                <w:lang w:val="en-US"/>
              </w:rPr>
            </w:pPr>
            <w:r w:rsidRPr="001D6DEE">
              <w:rPr>
                <w:rFonts w:ascii="PT Sans" w:hAnsi="PT Sans" w:cstheme="minorHAnsi"/>
                <w:b/>
                <w:i/>
                <w:sz w:val="20"/>
                <w:szCs w:val="20"/>
                <w:lang w:val="en-US"/>
              </w:rPr>
              <w:t>An integrated testing strategy to evaluate toxicological safety issues of candidate solvents</w:t>
            </w:r>
          </w:p>
          <w:p w14:paraId="63D6BB51" w14:textId="77777777" w:rsidR="00C91F7F" w:rsidRPr="001D6DEE" w:rsidRDefault="00C91F7F" w:rsidP="00C91F7F">
            <w:pPr>
              <w:jc w:val="both"/>
              <w:rPr>
                <w:rFonts w:ascii="PT Sans" w:hAnsi="PT Sans" w:cstheme="minorHAnsi"/>
                <w:sz w:val="20"/>
                <w:szCs w:val="20"/>
                <w:lang w:val="en-US"/>
              </w:rPr>
            </w:pPr>
            <w:r w:rsidRPr="001D6DEE">
              <w:rPr>
                <w:rFonts w:ascii="PT Sans" w:hAnsi="PT Sans" w:cstheme="minorHAnsi"/>
                <w:sz w:val="20"/>
                <w:szCs w:val="20"/>
                <w:lang w:val="en-US"/>
              </w:rPr>
              <w:t xml:space="preserve">For the successful substitution of fossil-derived solvents by bio-based alternatives, it is essential that these alternatives do not have similar hazardous properties. In </w:t>
            </w:r>
            <w:proofErr w:type="spellStart"/>
            <w:r w:rsidRPr="001D6DEE">
              <w:rPr>
                <w:rFonts w:ascii="PT Sans" w:hAnsi="PT Sans" w:cstheme="minorHAnsi"/>
                <w:sz w:val="20"/>
                <w:szCs w:val="20"/>
                <w:lang w:val="en-US"/>
              </w:rPr>
              <w:t>ReSolve</w:t>
            </w:r>
            <w:proofErr w:type="spellEnd"/>
            <w:r w:rsidRPr="001D6DEE">
              <w:rPr>
                <w:rFonts w:ascii="PT Sans" w:hAnsi="PT Sans" w:cstheme="minorHAnsi"/>
                <w:sz w:val="20"/>
                <w:szCs w:val="20"/>
                <w:lang w:val="en-US"/>
              </w:rPr>
              <w:t>, the hazard profile of the replacement candidates is assessed in an early stage, using a combination of in silico and in vitro methodology. The in-silico approach uses a combination of QSAR-based toxicity predictions, and experimental toxicity data (if available) for so-called read across. The in vitro approach makes use of CALUX® reporter gene assays, which focus on molecular initiating and early key events that are the primary target of toxicants. In this presentation, this innovative integrated strategy will be described, and illustrated with several examples from the resolve project.</w:t>
            </w:r>
          </w:p>
          <w:p w14:paraId="20870A42" w14:textId="77777777" w:rsidR="00C91F7F" w:rsidRPr="001D6DEE" w:rsidRDefault="00C91F7F" w:rsidP="00C91F7F">
            <w:pPr>
              <w:rPr>
                <w:rFonts w:ascii="PT Sans" w:hAnsi="PT Sans" w:cstheme="minorHAnsi"/>
                <w:sz w:val="20"/>
                <w:szCs w:val="20"/>
              </w:rPr>
            </w:pPr>
          </w:p>
        </w:tc>
      </w:tr>
      <w:tr w:rsidR="00C91F7F" w:rsidRPr="001D6DEE" w14:paraId="1A415E10" w14:textId="77777777" w:rsidTr="001D6DEE">
        <w:trPr>
          <w:gridAfter w:val="1"/>
          <w:wAfter w:w="7" w:type="dxa"/>
        </w:trPr>
        <w:tc>
          <w:tcPr>
            <w:tcW w:w="1576" w:type="dxa"/>
          </w:tcPr>
          <w:p w14:paraId="39A7C175" w14:textId="3ED78530" w:rsidR="00C91F7F" w:rsidRPr="001D6DEE" w:rsidRDefault="00C91F7F" w:rsidP="00C91F7F">
            <w:pPr>
              <w:rPr>
                <w:rFonts w:ascii="PT Sans" w:hAnsi="PT Sans" w:cstheme="minorHAnsi"/>
                <w:b/>
                <w:sz w:val="20"/>
                <w:szCs w:val="20"/>
              </w:rPr>
            </w:pPr>
            <w:r w:rsidRPr="001D6DEE">
              <w:rPr>
                <w:rFonts w:ascii="PT Sans" w:hAnsi="PT Sans" w:cstheme="minorHAnsi"/>
                <w:b/>
                <w:noProof/>
                <w:sz w:val="20"/>
                <w:szCs w:val="20"/>
              </w:rPr>
              <w:drawing>
                <wp:anchor distT="0" distB="0" distL="114300" distR="114300" simplePos="0" relativeHeight="251669504" behindDoc="1" locked="0" layoutInCell="1" allowOverlap="1" wp14:anchorId="6EE7D84E" wp14:editId="1FF06287">
                  <wp:simplePos x="0" y="0"/>
                  <wp:positionH relativeFrom="column">
                    <wp:posOffset>172771</wp:posOffset>
                  </wp:positionH>
                  <wp:positionV relativeFrom="paragraph">
                    <wp:posOffset>74397</wp:posOffset>
                  </wp:positionV>
                  <wp:extent cx="711835" cy="723900"/>
                  <wp:effectExtent l="0" t="0" r="0" b="0"/>
                  <wp:wrapTight wrapText="bothSides">
                    <wp:wrapPolygon edited="0">
                      <wp:start x="0" y="0"/>
                      <wp:lineTo x="0" y="21221"/>
                      <wp:lineTo x="21195" y="21221"/>
                      <wp:lineTo x="2119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bian.png"/>
                          <pic:cNvPicPr/>
                        </pic:nvPicPr>
                        <pic:blipFill>
                          <a:blip r:embed="rId10">
                            <a:extLst>
                              <a:ext uri="{28A0092B-C50C-407E-A947-70E740481C1C}">
                                <a14:useLocalDpi xmlns:a14="http://schemas.microsoft.com/office/drawing/2010/main" val="0"/>
                              </a:ext>
                            </a:extLst>
                          </a:blip>
                          <a:stretch>
                            <a:fillRect/>
                          </a:stretch>
                        </pic:blipFill>
                        <pic:spPr>
                          <a:xfrm>
                            <a:off x="0" y="0"/>
                            <a:ext cx="711835" cy="723900"/>
                          </a:xfrm>
                          <a:prstGeom prst="rect">
                            <a:avLst/>
                          </a:prstGeom>
                        </pic:spPr>
                      </pic:pic>
                    </a:graphicData>
                  </a:graphic>
                  <wp14:sizeRelH relativeFrom="margin">
                    <wp14:pctWidth>0</wp14:pctWidth>
                  </wp14:sizeRelH>
                  <wp14:sizeRelV relativeFrom="margin">
                    <wp14:pctHeight>0</wp14:pctHeight>
                  </wp14:sizeRelV>
                </wp:anchor>
              </w:drawing>
            </w:r>
          </w:p>
        </w:tc>
        <w:tc>
          <w:tcPr>
            <w:tcW w:w="7733" w:type="dxa"/>
          </w:tcPr>
          <w:p w14:paraId="539203C5" w14:textId="40ECF5E6" w:rsidR="00C91F7F" w:rsidRPr="001D6DEE" w:rsidRDefault="00C91F7F" w:rsidP="00C91F7F">
            <w:pPr>
              <w:rPr>
                <w:rFonts w:ascii="PT Sans" w:hAnsi="PT Sans" w:cstheme="minorHAnsi"/>
                <w:sz w:val="20"/>
                <w:szCs w:val="20"/>
              </w:rPr>
            </w:pPr>
            <w:proofErr w:type="spellStart"/>
            <w:r w:rsidRPr="001D6DEE">
              <w:rPr>
                <w:rFonts w:ascii="PT Sans" w:hAnsi="PT Sans" w:cstheme="minorHAnsi"/>
                <w:sz w:val="20"/>
                <w:szCs w:val="20"/>
              </w:rPr>
              <w:t>Dr.</w:t>
            </w:r>
            <w:proofErr w:type="spellEnd"/>
            <w:r w:rsidRPr="001D6DEE">
              <w:rPr>
                <w:rFonts w:ascii="PT Sans" w:hAnsi="PT Sans" w:cstheme="minorHAnsi"/>
                <w:sz w:val="20"/>
                <w:szCs w:val="20"/>
              </w:rPr>
              <w:t xml:space="preserve"> Fabien </w:t>
            </w:r>
            <w:proofErr w:type="spellStart"/>
            <w:r w:rsidRPr="001D6DEE">
              <w:rPr>
                <w:rFonts w:ascii="PT Sans" w:hAnsi="PT Sans" w:cstheme="minorHAnsi"/>
                <w:sz w:val="20"/>
                <w:szCs w:val="20"/>
              </w:rPr>
              <w:t>Deswarte</w:t>
            </w:r>
            <w:proofErr w:type="spellEnd"/>
            <w:r w:rsidRPr="001D6DEE">
              <w:rPr>
                <w:rFonts w:ascii="PT Sans" w:hAnsi="PT Sans" w:cstheme="minorHAnsi"/>
                <w:sz w:val="20"/>
                <w:szCs w:val="20"/>
              </w:rPr>
              <w:t xml:space="preserve"> </w:t>
            </w:r>
          </w:p>
          <w:p w14:paraId="04CD1614" w14:textId="2E74C8D5" w:rsidR="00C91F7F" w:rsidRPr="001D6DEE" w:rsidRDefault="00C91F7F" w:rsidP="00C91F7F">
            <w:pPr>
              <w:rPr>
                <w:rFonts w:ascii="PT Sans" w:hAnsi="PT Sans" w:cstheme="minorHAnsi"/>
                <w:sz w:val="20"/>
                <w:szCs w:val="20"/>
              </w:rPr>
            </w:pPr>
            <w:r w:rsidRPr="001D6DEE">
              <w:rPr>
                <w:rFonts w:ascii="PT Sans" w:hAnsi="PT Sans" w:cstheme="minorHAnsi"/>
                <w:sz w:val="20"/>
                <w:szCs w:val="20"/>
              </w:rPr>
              <w:t>Circa Sustainable Chemicals Ltd</w:t>
            </w:r>
          </w:p>
          <w:p w14:paraId="67DD9CF6" w14:textId="12683B90" w:rsidR="00C91F7F" w:rsidRPr="00FD66CE" w:rsidRDefault="00C91F7F" w:rsidP="00C91F7F">
            <w:pPr>
              <w:rPr>
                <w:rFonts w:ascii="PT Sans" w:hAnsi="PT Sans" w:cstheme="minorHAnsi"/>
                <w:b/>
                <w:i/>
                <w:sz w:val="18"/>
                <w:szCs w:val="20"/>
              </w:rPr>
            </w:pPr>
          </w:p>
          <w:p w14:paraId="36383337" w14:textId="2ABB2094" w:rsidR="00C91F7F" w:rsidRPr="001D6DEE" w:rsidRDefault="00C91F7F" w:rsidP="00C91F7F">
            <w:pPr>
              <w:rPr>
                <w:rFonts w:ascii="PT Sans" w:hAnsi="PT Sans" w:cstheme="minorHAnsi"/>
                <w:b/>
                <w:i/>
                <w:sz w:val="20"/>
                <w:szCs w:val="20"/>
              </w:rPr>
            </w:pPr>
            <w:r w:rsidRPr="001D6DEE">
              <w:rPr>
                <w:rFonts w:ascii="PT Sans" w:hAnsi="PT Sans" w:cstheme="minorHAnsi"/>
                <w:b/>
                <w:i/>
                <w:sz w:val="20"/>
                <w:szCs w:val="20"/>
              </w:rPr>
              <w:t>Safer and high performing bio-based alternatives to NMP</w:t>
            </w:r>
          </w:p>
          <w:p w14:paraId="137D07F2" w14:textId="0A13E83D" w:rsidR="00C91F7F" w:rsidRPr="001D6DEE" w:rsidRDefault="00C91F7F" w:rsidP="00C91F7F">
            <w:pPr>
              <w:jc w:val="both"/>
              <w:rPr>
                <w:rFonts w:ascii="PT Sans" w:hAnsi="PT Sans" w:cstheme="minorHAnsi"/>
                <w:sz w:val="20"/>
                <w:szCs w:val="20"/>
              </w:rPr>
            </w:pPr>
            <w:r w:rsidRPr="001D6DEE">
              <w:rPr>
                <w:rFonts w:ascii="PT Sans" w:hAnsi="PT Sans" w:cstheme="minorHAnsi"/>
                <w:sz w:val="20"/>
                <w:szCs w:val="20"/>
              </w:rPr>
              <w:t xml:space="preserve">One of the objectives of </w:t>
            </w:r>
            <w:proofErr w:type="spellStart"/>
            <w:r w:rsidRPr="001D6DEE">
              <w:rPr>
                <w:rFonts w:ascii="PT Sans" w:hAnsi="PT Sans" w:cstheme="minorHAnsi"/>
                <w:sz w:val="20"/>
                <w:szCs w:val="20"/>
              </w:rPr>
              <w:t>ReSolve</w:t>
            </w:r>
            <w:proofErr w:type="spellEnd"/>
            <w:r w:rsidRPr="001D6DEE">
              <w:rPr>
                <w:rFonts w:ascii="PT Sans" w:hAnsi="PT Sans" w:cstheme="minorHAnsi"/>
                <w:sz w:val="20"/>
                <w:szCs w:val="20"/>
              </w:rPr>
              <w:t xml:space="preserve"> is to develop safer and high-performing bio-based alternatives to NMP – a high-volume solvent facing intense regulatory pressure due to its </w:t>
            </w:r>
            <w:proofErr w:type="spellStart"/>
            <w:r w:rsidRPr="001D6DEE">
              <w:rPr>
                <w:rFonts w:ascii="PT Sans" w:hAnsi="PT Sans" w:cstheme="minorHAnsi"/>
                <w:sz w:val="20"/>
                <w:szCs w:val="20"/>
              </w:rPr>
              <w:t>reprotoxicity</w:t>
            </w:r>
            <w:proofErr w:type="spellEnd"/>
            <w:r w:rsidRPr="001D6DEE">
              <w:rPr>
                <w:rFonts w:ascii="PT Sans" w:hAnsi="PT Sans" w:cstheme="minorHAnsi"/>
                <w:sz w:val="20"/>
                <w:szCs w:val="20"/>
              </w:rPr>
              <w:t>. From more than 100 potential candidates, six possible starting materials were identified and analysed using computer modelling to predict their properties. The most promising candidates were then synthesised to assess their hazard profile and the solvents that passed the toxicity screening were subjected to application testing. In this presentation we will present the most promising NMP alternatives and how they compare with NMP from a performance, TEE and LCA, point of view. This will include Cyrene – a solvent derived from wood waste, which was recently granted REACH Annex XIII approval and is now being produced at demonstration scale.</w:t>
            </w:r>
          </w:p>
          <w:p w14:paraId="14C665F0" w14:textId="17C59F4D" w:rsidR="00C91F7F" w:rsidRPr="001D6DEE" w:rsidRDefault="00C91F7F" w:rsidP="00C91F7F">
            <w:pPr>
              <w:jc w:val="both"/>
              <w:rPr>
                <w:rFonts w:ascii="PT Sans" w:hAnsi="PT Sans" w:cstheme="minorHAnsi"/>
                <w:b/>
                <w:sz w:val="20"/>
                <w:szCs w:val="20"/>
              </w:rPr>
            </w:pPr>
          </w:p>
        </w:tc>
      </w:tr>
      <w:tr w:rsidR="00C91F7F" w:rsidRPr="001D6DEE" w14:paraId="62AADED4" w14:textId="77777777" w:rsidTr="001D6DEE">
        <w:trPr>
          <w:gridAfter w:val="1"/>
          <w:wAfter w:w="7" w:type="dxa"/>
        </w:trPr>
        <w:tc>
          <w:tcPr>
            <w:tcW w:w="1576" w:type="dxa"/>
          </w:tcPr>
          <w:p w14:paraId="4BA063DA" w14:textId="5E11AE8D" w:rsidR="00C91F7F" w:rsidRPr="001D6DEE" w:rsidRDefault="00C91F7F" w:rsidP="00C91F7F">
            <w:pPr>
              <w:rPr>
                <w:rFonts w:ascii="PT Sans" w:hAnsi="PT Sans" w:cstheme="minorHAnsi"/>
                <w:b/>
                <w:noProof/>
                <w:sz w:val="20"/>
                <w:szCs w:val="20"/>
              </w:rPr>
            </w:pPr>
            <w:bookmarkStart w:id="1" w:name="OLE_LINK1"/>
            <w:bookmarkStart w:id="2" w:name="OLE_LINK2"/>
            <w:bookmarkStart w:id="3" w:name="OLE_LINK3"/>
            <w:r w:rsidRPr="001D6DEE">
              <w:rPr>
                <w:rFonts w:ascii="PT Sans" w:hAnsi="PT Sans" w:cstheme="minorHAnsi"/>
                <w:b/>
                <w:noProof/>
                <w:sz w:val="20"/>
                <w:szCs w:val="20"/>
              </w:rPr>
              <w:drawing>
                <wp:anchor distT="0" distB="0" distL="114300" distR="114300" simplePos="0" relativeHeight="251672576" behindDoc="1" locked="0" layoutInCell="1" allowOverlap="1" wp14:anchorId="38AB4E4D" wp14:editId="4FDA64E5">
                  <wp:simplePos x="0" y="0"/>
                  <wp:positionH relativeFrom="column">
                    <wp:posOffset>131445</wp:posOffset>
                  </wp:positionH>
                  <wp:positionV relativeFrom="paragraph">
                    <wp:posOffset>79086</wp:posOffset>
                  </wp:positionV>
                  <wp:extent cx="712800" cy="853200"/>
                  <wp:effectExtent l="0" t="0" r="0" b="0"/>
                  <wp:wrapTight wrapText="bothSides">
                    <wp:wrapPolygon edited="0">
                      <wp:start x="0" y="0"/>
                      <wp:lineTo x="0" y="21230"/>
                      <wp:lineTo x="21176" y="21230"/>
                      <wp:lineTo x="2117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rgal Byrne.jpg"/>
                          <pic:cNvPicPr/>
                        </pic:nvPicPr>
                        <pic:blipFill>
                          <a:blip r:embed="rId11">
                            <a:extLst>
                              <a:ext uri="{28A0092B-C50C-407E-A947-70E740481C1C}">
                                <a14:useLocalDpi xmlns:a14="http://schemas.microsoft.com/office/drawing/2010/main" val="0"/>
                              </a:ext>
                            </a:extLst>
                          </a:blip>
                          <a:stretch>
                            <a:fillRect/>
                          </a:stretch>
                        </pic:blipFill>
                        <pic:spPr>
                          <a:xfrm>
                            <a:off x="0" y="0"/>
                            <a:ext cx="712800" cy="853200"/>
                          </a:xfrm>
                          <a:prstGeom prst="rect">
                            <a:avLst/>
                          </a:prstGeom>
                        </pic:spPr>
                      </pic:pic>
                    </a:graphicData>
                  </a:graphic>
                  <wp14:sizeRelH relativeFrom="margin">
                    <wp14:pctWidth>0</wp14:pctWidth>
                  </wp14:sizeRelH>
                  <wp14:sizeRelV relativeFrom="margin">
                    <wp14:pctHeight>0</wp14:pctHeight>
                  </wp14:sizeRelV>
                </wp:anchor>
              </w:drawing>
            </w:r>
          </w:p>
        </w:tc>
        <w:tc>
          <w:tcPr>
            <w:tcW w:w="7733" w:type="dxa"/>
          </w:tcPr>
          <w:p w14:paraId="15F4D5AF" w14:textId="77777777" w:rsidR="00C91F7F" w:rsidRPr="001D6DEE" w:rsidRDefault="00C91F7F" w:rsidP="00C91F7F">
            <w:pPr>
              <w:rPr>
                <w:rFonts w:ascii="PT Sans" w:hAnsi="PT Sans" w:cstheme="minorHAnsi"/>
                <w:sz w:val="20"/>
                <w:szCs w:val="20"/>
              </w:rPr>
            </w:pPr>
            <w:bookmarkStart w:id="4" w:name="OLE_LINK4"/>
            <w:bookmarkStart w:id="5" w:name="OLE_LINK5"/>
            <w:bookmarkStart w:id="6" w:name="OLE_LINK8"/>
            <w:proofErr w:type="spellStart"/>
            <w:r w:rsidRPr="001D6DEE">
              <w:rPr>
                <w:rFonts w:ascii="PT Sans" w:hAnsi="PT Sans" w:cstheme="minorHAnsi"/>
                <w:sz w:val="20"/>
                <w:szCs w:val="20"/>
              </w:rPr>
              <w:t>Dr.</w:t>
            </w:r>
            <w:proofErr w:type="spellEnd"/>
            <w:r w:rsidRPr="001D6DEE">
              <w:rPr>
                <w:rFonts w:ascii="PT Sans" w:hAnsi="PT Sans" w:cstheme="minorHAnsi"/>
                <w:sz w:val="20"/>
                <w:szCs w:val="20"/>
              </w:rPr>
              <w:t xml:space="preserve"> Fergal Byrne </w:t>
            </w:r>
          </w:p>
          <w:p w14:paraId="6CB64B33" w14:textId="77777777" w:rsidR="00C91F7F" w:rsidRPr="001D6DEE" w:rsidRDefault="00C91F7F" w:rsidP="00C91F7F">
            <w:pPr>
              <w:rPr>
                <w:rFonts w:ascii="PT Sans" w:hAnsi="PT Sans" w:cstheme="minorHAnsi"/>
                <w:sz w:val="20"/>
                <w:szCs w:val="20"/>
              </w:rPr>
            </w:pPr>
            <w:r w:rsidRPr="001D6DEE">
              <w:rPr>
                <w:rFonts w:ascii="PT Sans" w:hAnsi="PT Sans" w:cstheme="minorHAnsi"/>
                <w:sz w:val="20"/>
                <w:szCs w:val="20"/>
              </w:rPr>
              <w:t>University of York</w:t>
            </w:r>
          </w:p>
          <w:p w14:paraId="286FDF50" w14:textId="77777777" w:rsidR="00C91F7F" w:rsidRPr="00FD66CE" w:rsidRDefault="00C91F7F" w:rsidP="00C91F7F">
            <w:pPr>
              <w:rPr>
                <w:rFonts w:ascii="PT Sans" w:hAnsi="PT Sans" w:cstheme="minorHAnsi"/>
                <w:b/>
                <w:i/>
                <w:sz w:val="18"/>
                <w:szCs w:val="20"/>
              </w:rPr>
            </w:pPr>
          </w:p>
          <w:p w14:paraId="66D6B63C" w14:textId="77777777" w:rsidR="00C91F7F" w:rsidRPr="001D6DEE" w:rsidRDefault="00C91F7F" w:rsidP="00C91F7F">
            <w:pPr>
              <w:rPr>
                <w:rFonts w:ascii="PT Sans" w:hAnsi="PT Sans" w:cstheme="minorHAnsi"/>
                <w:b/>
                <w:i/>
                <w:sz w:val="20"/>
                <w:szCs w:val="20"/>
              </w:rPr>
            </w:pPr>
            <w:r w:rsidRPr="001D6DEE">
              <w:rPr>
                <w:rFonts w:ascii="PT Sans" w:hAnsi="PT Sans" w:cstheme="minorHAnsi"/>
                <w:b/>
                <w:i/>
                <w:sz w:val="20"/>
                <w:szCs w:val="20"/>
              </w:rPr>
              <w:t>Safer and high performing bio-based alternatives to toluene</w:t>
            </w:r>
          </w:p>
          <w:p w14:paraId="561A0226" w14:textId="77777777" w:rsidR="00C91F7F" w:rsidRPr="001D6DEE" w:rsidRDefault="00C91F7F" w:rsidP="00C91F7F">
            <w:pPr>
              <w:jc w:val="both"/>
              <w:rPr>
                <w:rFonts w:ascii="PT Sans" w:hAnsi="PT Sans" w:cstheme="minorHAnsi"/>
                <w:sz w:val="20"/>
                <w:szCs w:val="20"/>
              </w:rPr>
            </w:pPr>
            <w:r w:rsidRPr="001D6DEE">
              <w:rPr>
                <w:rFonts w:ascii="PT Sans" w:hAnsi="PT Sans" w:cstheme="minorHAnsi"/>
                <w:sz w:val="20"/>
                <w:szCs w:val="20"/>
              </w:rPr>
              <w:t xml:space="preserve">Toluene is a common non-polar solvent used throughout the chemical industry. However, is a </w:t>
            </w:r>
            <w:proofErr w:type="spellStart"/>
            <w:r w:rsidRPr="001D6DEE">
              <w:rPr>
                <w:rFonts w:ascii="PT Sans" w:hAnsi="PT Sans" w:cstheme="minorHAnsi"/>
                <w:sz w:val="20"/>
                <w:szCs w:val="20"/>
              </w:rPr>
              <w:t>reprotoxin</w:t>
            </w:r>
            <w:proofErr w:type="spellEnd"/>
            <w:r w:rsidRPr="001D6DEE">
              <w:rPr>
                <w:rFonts w:ascii="PT Sans" w:hAnsi="PT Sans" w:cstheme="minorHAnsi"/>
                <w:sz w:val="20"/>
                <w:szCs w:val="20"/>
              </w:rPr>
              <w:t xml:space="preserve"> and is petroleum-derived. As such, alternatives are urgently sought. In this presentation, the top candidates to replace toluene are discussed. Four categories of analysis were carried out as part of </w:t>
            </w:r>
            <w:proofErr w:type="spellStart"/>
            <w:r w:rsidRPr="001D6DEE">
              <w:rPr>
                <w:rFonts w:ascii="PT Sans" w:hAnsi="PT Sans" w:cstheme="minorHAnsi"/>
                <w:sz w:val="20"/>
                <w:szCs w:val="20"/>
              </w:rPr>
              <w:t>ReSolve</w:t>
            </w:r>
            <w:proofErr w:type="spellEnd"/>
            <w:r w:rsidRPr="001D6DEE">
              <w:rPr>
                <w:rFonts w:ascii="PT Sans" w:hAnsi="PT Sans" w:cstheme="minorHAnsi"/>
                <w:sz w:val="20"/>
                <w:szCs w:val="20"/>
              </w:rPr>
              <w:t xml:space="preserve"> – synthesis, application testing, toxicity, TEE and LCA – and each candidate will be discussed in terms of these in comparison to toluene. In addition, an update about the status of the scale-up synthesis of TMO will be presented.</w:t>
            </w:r>
          </w:p>
          <w:bookmarkEnd w:id="4"/>
          <w:bookmarkEnd w:id="5"/>
          <w:bookmarkEnd w:id="6"/>
          <w:p w14:paraId="63237776" w14:textId="3ED14A4A" w:rsidR="00C91F7F" w:rsidRPr="001D6DEE" w:rsidRDefault="00C91F7F" w:rsidP="00C91F7F">
            <w:pPr>
              <w:rPr>
                <w:rFonts w:ascii="PT Sans" w:hAnsi="PT Sans" w:cstheme="minorHAnsi"/>
                <w:sz w:val="20"/>
                <w:szCs w:val="20"/>
                <w:lang w:val="en-US"/>
              </w:rPr>
            </w:pPr>
          </w:p>
        </w:tc>
      </w:tr>
      <w:tr w:rsidR="00C91F7F" w:rsidRPr="001D6DEE" w14:paraId="69EC764B" w14:textId="77777777" w:rsidTr="001D6DEE">
        <w:trPr>
          <w:gridAfter w:val="1"/>
          <w:wAfter w:w="7" w:type="dxa"/>
        </w:trPr>
        <w:tc>
          <w:tcPr>
            <w:tcW w:w="1576" w:type="dxa"/>
          </w:tcPr>
          <w:p w14:paraId="58C2564A" w14:textId="042016A7" w:rsidR="00C91F7F" w:rsidRPr="001D6DEE" w:rsidRDefault="00C91F7F" w:rsidP="00C91F7F">
            <w:pPr>
              <w:rPr>
                <w:rFonts w:ascii="PT Sans" w:hAnsi="PT Sans" w:cstheme="minorHAnsi"/>
                <w:b/>
                <w:sz w:val="20"/>
                <w:szCs w:val="20"/>
                <w:lang w:val="en-US"/>
              </w:rPr>
            </w:pPr>
            <w:bookmarkStart w:id="7" w:name="_Hlk16595620"/>
            <w:bookmarkEnd w:id="1"/>
            <w:bookmarkEnd w:id="2"/>
            <w:bookmarkEnd w:id="3"/>
            <w:r w:rsidRPr="001D6DEE">
              <w:rPr>
                <w:rFonts w:ascii="PT Sans" w:hAnsi="PT Sans" w:cstheme="minorHAnsi"/>
                <w:b/>
                <w:noProof/>
                <w:sz w:val="20"/>
                <w:szCs w:val="20"/>
              </w:rPr>
              <w:drawing>
                <wp:anchor distT="0" distB="0" distL="114300" distR="114300" simplePos="0" relativeHeight="251670528" behindDoc="1" locked="0" layoutInCell="1" allowOverlap="1" wp14:anchorId="0C4A9C0D" wp14:editId="6FE7E91B">
                  <wp:simplePos x="0" y="0"/>
                  <wp:positionH relativeFrom="column">
                    <wp:posOffset>141844</wp:posOffset>
                  </wp:positionH>
                  <wp:positionV relativeFrom="paragraph">
                    <wp:posOffset>82446</wp:posOffset>
                  </wp:positionV>
                  <wp:extent cx="712800" cy="835200"/>
                  <wp:effectExtent l="0" t="0" r="0" b="3175"/>
                  <wp:wrapTight wrapText="bothSides">
                    <wp:wrapPolygon edited="0">
                      <wp:start x="0" y="0"/>
                      <wp:lineTo x="0" y="21354"/>
                      <wp:lineTo x="21176" y="21354"/>
                      <wp:lineTo x="21176" y="0"/>
                      <wp:lineTo x="0" y="0"/>
                    </wp:wrapPolygon>
                  </wp:wrapTight>
                  <wp:docPr id="5" name="Picture 4">
                    <a:extLst xmlns:a="http://schemas.openxmlformats.org/drawingml/2006/main">
                      <a:ext uri="{FF2B5EF4-FFF2-40B4-BE49-F238E27FC236}">
                        <a16:creationId xmlns:a16="http://schemas.microsoft.com/office/drawing/2014/main" id="{9A95645E-092D-EE46-90EC-E5F533F3A4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A95645E-092D-EE46-90EC-E5F533F3A465}"/>
                              </a:ext>
                            </a:extLst>
                          </pic:cNvPr>
                          <pic:cNvPicPr>
                            <a:picLocks noChangeAspect="1"/>
                          </pic:cNvPicPr>
                        </pic:nvPicPr>
                        <pic:blipFill rotWithShape="1">
                          <a:blip r:embed="rId12">
                            <a:extLst>
                              <a:ext uri="{28A0092B-C50C-407E-A947-70E740481C1C}">
                                <a14:useLocalDpi xmlns:a14="http://schemas.microsoft.com/office/drawing/2010/main" val="0"/>
                              </a:ext>
                            </a:extLst>
                          </a:blip>
                          <a:srcRect r="406" b="22277"/>
                          <a:stretch/>
                        </pic:blipFill>
                        <pic:spPr>
                          <a:xfrm>
                            <a:off x="0" y="0"/>
                            <a:ext cx="712800" cy="835200"/>
                          </a:xfrm>
                          <a:prstGeom prst="rect">
                            <a:avLst/>
                          </a:prstGeom>
                        </pic:spPr>
                      </pic:pic>
                    </a:graphicData>
                  </a:graphic>
                  <wp14:sizeRelH relativeFrom="margin">
                    <wp14:pctWidth>0</wp14:pctWidth>
                  </wp14:sizeRelH>
                  <wp14:sizeRelV relativeFrom="margin">
                    <wp14:pctHeight>0</wp14:pctHeight>
                  </wp14:sizeRelV>
                </wp:anchor>
              </w:drawing>
            </w:r>
          </w:p>
        </w:tc>
        <w:tc>
          <w:tcPr>
            <w:tcW w:w="7733" w:type="dxa"/>
          </w:tcPr>
          <w:p w14:paraId="3504DEE3" w14:textId="77777777" w:rsidR="00C91F7F" w:rsidRPr="001D6DEE" w:rsidRDefault="00C91F7F" w:rsidP="00C91F7F">
            <w:pPr>
              <w:rPr>
                <w:rFonts w:ascii="PT Sans" w:hAnsi="PT Sans" w:cstheme="minorHAnsi"/>
                <w:sz w:val="20"/>
                <w:szCs w:val="20"/>
                <w:lang w:val="de-DE"/>
              </w:rPr>
            </w:pPr>
            <w:r w:rsidRPr="001D6DEE">
              <w:rPr>
                <w:rFonts w:ascii="PT Sans" w:hAnsi="PT Sans" w:cstheme="minorHAnsi"/>
                <w:sz w:val="20"/>
                <w:szCs w:val="20"/>
                <w:lang w:val="de-DE"/>
              </w:rPr>
              <w:t>Dr. Ángel Puente</w:t>
            </w:r>
          </w:p>
          <w:p w14:paraId="16E774F2" w14:textId="77777777" w:rsidR="00C91F7F" w:rsidRPr="001D6DEE" w:rsidRDefault="00C91F7F" w:rsidP="00C91F7F">
            <w:pPr>
              <w:rPr>
                <w:rFonts w:ascii="PT Sans" w:hAnsi="PT Sans" w:cstheme="minorHAnsi"/>
                <w:sz w:val="20"/>
                <w:szCs w:val="20"/>
                <w:lang w:val="de-DE"/>
              </w:rPr>
            </w:pPr>
            <w:proofErr w:type="spellStart"/>
            <w:r w:rsidRPr="001D6DEE">
              <w:rPr>
                <w:rFonts w:ascii="PT Sans" w:hAnsi="PT Sans" w:cstheme="minorHAnsi"/>
                <w:sz w:val="20"/>
                <w:szCs w:val="20"/>
                <w:lang w:val="de-DE"/>
              </w:rPr>
              <w:t>nova</w:t>
            </w:r>
            <w:proofErr w:type="spellEnd"/>
            <w:r w:rsidRPr="001D6DEE">
              <w:rPr>
                <w:rFonts w:ascii="PT Sans" w:hAnsi="PT Sans" w:cstheme="minorHAnsi"/>
                <w:sz w:val="20"/>
                <w:szCs w:val="20"/>
                <w:lang w:val="de-DE"/>
              </w:rPr>
              <w:t>-Institut GmbH</w:t>
            </w:r>
          </w:p>
          <w:p w14:paraId="487E3085" w14:textId="77777777" w:rsidR="00C91F7F" w:rsidRPr="00FD66CE" w:rsidRDefault="00C91F7F" w:rsidP="00C91F7F">
            <w:pPr>
              <w:rPr>
                <w:rFonts w:ascii="PT Sans" w:hAnsi="PT Sans" w:cstheme="minorHAnsi"/>
                <w:sz w:val="18"/>
                <w:szCs w:val="20"/>
                <w:lang w:val="de-DE"/>
              </w:rPr>
            </w:pPr>
          </w:p>
          <w:p w14:paraId="2C183888" w14:textId="77777777" w:rsidR="00C91F7F" w:rsidRPr="00FD66CE" w:rsidRDefault="00C91F7F" w:rsidP="00C91F7F">
            <w:pPr>
              <w:rPr>
                <w:rFonts w:ascii="PT Sans" w:hAnsi="PT Sans" w:cstheme="minorHAnsi"/>
                <w:b/>
                <w:i/>
                <w:sz w:val="20"/>
                <w:szCs w:val="20"/>
                <w:lang w:val="en-US"/>
              </w:rPr>
            </w:pPr>
            <w:r w:rsidRPr="00FD66CE">
              <w:rPr>
                <w:rFonts w:ascii="PT Sans" w:hAnsi="PT Sans" w:cstheme="minorHAnsi"/>
                <w:b/>
                <w:i/>
                <w:sz w:val="20"/>
                <w:szCs w:val="20"/>
                <w:lang w:val="en-US"/>
              </w:rPr>
              <w:t>TEE and LCA of the most promising NMP and Toluene alternatives</w:t>
            </w:r>
          </w:p>
          <w:p w14:paraId="503DC3EC" w14:textId="77777777" w:rsidR="00C91F7F" w:rsidRPr="001D6DEE" w:rsidRDefault="00C91F7F" w:rsidP="00C91F7F">
            <w:pPr>
              <w:rPr>
                <w:rFonts w:ascii="PT Sans" w:hAnsi="PT Sans" w:cstheme="minorHAnsi"/>
                <w:sz w:val="20"/>
                <w:szCs w:val="20"/>
                <w:lang w:val="en-US"/>
              </w:rPr>
            </w:pPr>
            <w:r w:rsidRPr="001D6DEE">
              <w:rPr>
                <w:rFonts w:ascii="PT Sans" w:hAnsi="PT Sans" w:cstheme="minorHAnsi"/>
                <w:sz w:val="20"/>
                <w:szCs w:val="20"/>
                <w:lang w:val="en-US"/>
              </w:rPr>
              <w:t xml:space="preserve">In </w:t>
            </w:r>
            <w:proofErr w:type="gramStart"/>
            <w:r w:rsidRPr="001D6DEE">
              <w:rPr>
                <w:rFonts w:ascii="PT Sans" w:hAnsi="PT Sans" w:cstheme="minorHAnsi"/>
                <w:sz w:val="20"/>
                <w:szCs w:val="20"/>
                <w:lang w:val="en-US"/>
              </w:rPr>
              <w:t>this presentations</w:t>
            </w:r>
            <w:proofErr w:type="gramEnd"/>
            <w:r w:rsidRPr="001D6DEE">
              <w:rPr>
                <w:rFonts w:ascii="PT Sans" w:hAnsi="PT Sans" w:cstheme="minorHAnsi"/>
                <w:sz w:val="20"/>
                <w:szCs w:val="20"/>
                <w:lang w:val="en-US"/>
              </w:rPr>
              <w:t>, together with Fabien and Fergal, we will discuss the TEE and LCA of the NMP and toluene alternatives.</w:t>
            </w:r>
          </w:p>
          <w:p w14:paraId="57B8DC68" w14:textId="2FE07037" w:rsidR="00C91F7F" w:rsidRPr="001D6DEE" w:rsidRDefault="00C91F7F" w:rsidP="00C91F7F">
            <w:pPr>
              <w:rPr>
                <w:rFonts w:ascii="PT Sans" w:hAnsi="PT Sans" w:cstheme="minorHAnsi"/>
                <w:i/>
                <w:sz w:val="20"/>
                <w:szCs w:val="20"/>
              </w:rPr>
            </w:pPr>
          </w:p>
        </w:tc>
      </w:tr>
      <w:bookmarkEnd w:id="7"/>
      <w:tr w:rsidR="00C91F7F" w:rsidRPr="001D6DEE" w14:paraId="28AAD28F" w14:textId="77777777" w:rsidTr="001D6DEE">
        <w:trPr>
          <w:gridAfter w:val="1"/>
          <w:wAfter w:w="7" w:type="dxa"/>
        </w:trPr>
        <w:tc>
          <w:tcPr>
            <w:tcW w:w="1576" w:type="dxa"/>
          </w:tcPr>
          <w:p w14:paraId="53BC95E5" w14:textId="77777777" w:rsidR="00C91F7F" w:rsidRPr="001D6DEE" w:rsidRDefault="00C91F7F" w:rsidP="00C91F7F">
            <w:pPr>
              <w:rPr>
                <w:rFonts w:ascii="PT Sans" w:hAnsi="PT Sans" w:cstheme="minorHAnsi"/>
                <w:b/>
                <w:color w:val="144A74"/>
                <w:sz w:val="20"/>
                <w:szCs w:val="20"/>
              </w:rPr>
            </w:pPr>
            <w:r w:rsidRPr="001D6DEE">
              <w:rPr>
                <w:rFonts w:ascii="PT Sans" w:hAnsi="PT Sans" w:cstheme="minorHAnsi"/>
                <w:b/>
                <w:color w:val="144A74"/>
                <w:sz w:val="20"/>
                <w:szCs w:val="20"/>
              </w:rPr>
              <w:lastRenderedPageBreak/>
              <w:t xml:space="preserve">16:00 </w:t>
            </w:r>
          </w:p>
        </w:tc>
        <w:tc>
          <w:tcPr>
            <w:tcW w:w="7733" w:type="dxa"/>
          </w:tcPr>
          <w:p w14:paraId="78F6BA59" w14:textId="77777777" w:rsidR="00C91F7F" w:rsidRPr="00FD66CE" w:rsidRDefault="00C91F7F" w:rsidP="00C91F7F">
            <w:pPr>
              <w:rPr>
                <w:rFonts w:ascii="PT Sans" w:hAnsi="PT Sans" w:cstheme="minorHAnsi"/>
                <w:b/>
                <w:color w:val="144A74"/>
                <w:sz w:val="20"/>
                <w:szCs w:val="20"/>
              </w:rPr>
            </w:pPr>
            <w:r w:rsidRPr="00FD66CE">
              <w:rPr>
                <w:rFonts w:ascii="PT Sans" w:hAnsi="PT Sans" w:cstheme="minorHAnsi"/>
                <w:b/>
                <w:color w:val="144A74"/>
                <w:sz w:val="20"/>
                <w:szCs w:val="20"/>
              </w:rPr>
              <w:t>Session 3: Feedback and discussion session</w:t>
            </w:r>
          </w:p>
          <w:p w14:paraId="75751B72" w14:textId="5C2042DA" w:rsidR="00C91F7F" w:rsidRPr="00FD66CE" w:rsidRDefault="00C91F7F" w:rsidP="00C91F7F">
            <w:pPr>
              <w:tabs>
                <w:tab w:val="left" w:pos="851"/>
              </w:tabs>
              <w:rPr>
                <w:rFonts w:ascii="PT Sans" w:hAnsi="PT Sans" w:cstheme="minorHAnsi"/>
                <w:sz w:val="20"/>
                <w:szCs w:val="20"/>
              </w:rPr>
            </w:pPr>
            <w:r w:rsidRPr="001D6DEE">
              <w:rPr>
                <w:rFonts w:ascii="PT Sans" w:hAnsi="PT Sans" w:cstheme="minorHAnsi"/>
                <w:sz w:val="20"/>
                <w:szCs w:val="20"/>
              </w:rPr>
              <w:t>Challenges of solvent substitution and bringing new solvents to market</w:t>
            </w:r>
          </w:p>
        </w:tc>
      </w:tr>
      <w:tr w:rsidR="00C91F7F" w:rsidRPr="00FD66CE" w14:paraId="11C2662C" w14:textId="77777777" w:rsidTr="001D6DEE">
        <w:trPr>
          <w:gridAfter w:val="1"/>
          <w:wAfter w:w="7" w:type="dxa"/>
        </w:trPr>
        <w:tc>
          <w:tcPr>
            <w:tcW w:w="1576" w:type="dxa"/>
          </w:tcPr>
          <w:p w14:paraId="3C5C9263" w14:textId="77777777" w:rsidR="00C91F7F" w:rsidRPr="00FD66CE" w:rsidRDefault="00C91F7F" w:rsidP="00C91F7F">
            <w:pPr>
              <w:rPr>
                <w:rFonts w:ascii="PT Sans" w:hAnsi="PT Sans" w:cstheme="minorHAnsi"/>
                <w:b/>
                <w:color w:val="144A74"/>
                <w:sz w:val="20"/>
                <w:szCs w:val="20"/>
              </w:rPr>
            </w:pPr>
            <w:r w:rsidRPr="00FD66CE">
              <w:rPr>
                <w:rFonts w:ascii="PT Sans" w:hAnsi="PT Sans" w:cstheme="minorHAnsi"/>
                <w:b/>
                <w:color w:val="144A74"/>
                <w:sz w:val="20"/>
                <w:szCs w:val="20"/>
              </w:rPr>
              <w:t>17:00</w:t>
            </w:r>
          </w:p>
        </w:tc>
        <w:tc>
          <w:tcPr>
            <w:tcW w:w="7733" w:type="dxa"/>
          </w:tcPr>
          <w:p w14:paraId="3C0E759A" w14:textId="6EA24B7A" w:rsidR="00C91F7F" w:rsidRPr="00FD66CE" w:rsidRDefault="00C91F7F" w:rsidP="00C91F7F">
            <w:pPr>
              <w:rPr>
                <w:rFonts w:ascii="PT Sans" w:hAnsi="PT Sans" w:cstheme="minorHAnsi"/>
                <w:b/>
                <w:color w:val="144A74"/>
                <w:sz w:val="20"/>
                <w:szCs w:val="20"/>
              </w:rPr>
            </w:pPr>
            <w:r w:rsidRPr="00FD66CE">
              <w:rPr>
                <w:rFonts w:ascii="PT Sans" w:hAnsi="PT Sans" w:cstheme="minorHAnsi"/>
                <w:b/>
                <w:color w:val="144A74"/>
                <w:sz w:val="20"/>
                <w:szCs w:val="20"/>
              </w:rPr>
              <w:t>Wrap-up</w:t>
            </w:r>
          </w:p>
        </w:tc>
      </w:tr>
      <w:tr w:rsidR="00C91F7F" w:rsidRPr="00FD66CE" w14:paraId="7602E05C" w14:textId="77777777" w:rsidTr="001D6DEE">
        <w:trPr>
          <w:gridAfter w:val="1"/>
          <w:wAfter w:w="7" w:type="dxa"/>
        </w:trPr>
        <w:tc>
          <w:tcPr>
            <w:tcW w:w="1576" w:type="dxa"/>
          </w:tcPr>
          <w:p w14:paraId="69D65590" w14:textId="77777777" w:rsidR="00C91F7F" w:rsidRPr="00FD66CE" w:rsidRDefault="00C91F7F" w:rsidP="00C91F7F">
            <w:pPr>
              <w:rPr>
                <w:rFonts w:ascii="PT Sans" w:hAnsi="PT Sans" w:cstheme="minorHAnsi"/>
                <w:b/>
                <w:color w:val="144A74"/>
                <w:sz w:val="20"/>
                <w:szCs w:val="20"/>
              </w:rPr>
            </w:pPr>
            <w:r w:rsidRPr="00FD66CE">
              <w:rPr>
                <w:rFonts w:ascii="PT Sans" w:hAnsi="PT Sans" w:cstheme="minorHAnsi"/>
                <w:b/>
                <w:color w:val="144A74"/>
                <w:sz w:val="20"/>
                <w:szCs w:val="20"/>
              </w:rPr>
              <w:t>17:30</w:t>
            </w:r>
          </w:p>
        </w:tc>
        <w:tc>
          <w:tcPr>
            <w:tcW w:w="7733" w:type="dxa"/>
          </w:tcPr>
          <w:p w14:paraId="55E96635" w14:textId="312264A7" w:rsidR="00C91F7F" w:rsidRPr="00FD66CE" w:rsidRDefault="00C91F7F" w:rsidP="00C91F7F">
            <w:pPr>
              <w:rPr>
                <w:rFonts w:ascii="PT Sans" w:hAnsi="PT Sans" w:cstheme="minorHAnsi"/>
                <w:b/>
                <w:color w:val="144A74"/>
                <w:sz w:val="20"/>
                <w:szCs w:val="20"/>
              </w:rPr>
            </w:pPr>
            <w:r w:rsidRPr="00FD66CE">
              <w:rPr>
                <w:rFonts w:ascii="PT Sans" w:hAnsi="PT Sans" w:cstheme="minorHAnsi"/>
                <w:b/>
                <w:color w:val="144A74"/>
                <w:sz w:val="20"/>
                <w:szCs w:val="20"/>
              </w:rPr>
              <w:t>EFIB 2019 pre-conference reception</w:t>
            </w:r>
          </w:p>
        </w:tc>
      </w:tr>
      <w:tr w:rsidR="00C91F7F" w:rsidRPr="001D6DEE" w14:paraId="7E3837F9" w14:textId="77777777" w:rsidTr="001D6DEE">
        <w:trPr>
          <w:gridAfter w:val="1"/>
          <w:wAfter w:w="7" w:type="dxa"/>
        </w:trPr>
        <w:tc>
          <w:tcPr>
            <w:tcW w:w="1576" w:type="dxa"/>
          </w:tcPr>
          <w:p w14:paraId="676612D8" w14:textId="77777777" w:rsidR="00C91F7F" w:rsidRPr="001D6DEE" w:rsidRDefault="00C91F7F" w:rsidP="00C91F7F">
            <w:pPr>
              <w:rPr>
                <w:rFonts w:ascii="PT Sans" w:hAnsi="PT Sans" w:cstheme="minorHAnsi"/>
                <w:b/>
                <w:color w:val="87CCC9"/>
                <w:sz w:val="20"/>
                <w:szCs w:val="20"/>
              </w:rPr>
            </w:pPr>
          </w:p>
        </w:tc>
        <w:tc>
          <w:tcPr>
            <w:tcW w:w="7733" w:type="dxa"/>
          </w:tcPr>
          <w:p w14:paraId="2C8B7C9C" w14:textId="77777777" w:rsidR="00C91F7F" w:rsidRPr="001D6DEE" w:rsidRDefault="00C91F7F" w:rsidP="00C91F7F">
            <w:pPr>
              <w:rPr>
                <w:rFonts w:ascii="PT Sans" w:hAnsi="PT Sans" w:cstheme="minorHAnsi"/>
                <w:sz w:val="20"/>
                <w:szCs w:val="20"/>
              </w:rPr>
            </w:pPr>
            <w:r w:rsidRPr="001D6DEE">
              <w:rPr>
                <w:rFonts w:ascii="PT Sans" w:hAnsi="PT Sans" w:cstheme="minorHAnsi"/>
                <w:sz w:val="20"/>
                <w:szCs w:val="20"/>
              </w:rPr>
              <w:t>All workshop attendees can join the EFIB 2019 welcome reception</w:t>
            </w:r>
          </w:p>
        </w:tc>
      </w:tr>
    </w:tbl>
    <w:p w14:paraId="50944F36" w14:textId="77777777" w:rsidR="00B6215A" w:rsidRPr="001D6DEE" w:rsidRDefault="00B6215A">
      <w:pPr>
        <w:rPr>
          <w:rFonts w:ascii="PT Sans" w:hAnsi="PT Sans"/>
          <w:sz w:val="20"/>
          <w:szCs w:val="20"/>
        </w:rPr>
      </w:pPr>
    </w:p>
    <w:sectPr w:rsidR="00B6215A" w:rsidRPr="001D6DEE" w:rsidSect="00022C53">
      <w:foot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FB903" w14:textId="77777777" w:rsidR="009D3EFE" w:rsidRDefault="009D3EFE" w:rsidP="00FD66CE">
      <w:r>
        <w:separator/>
      </w:r>
    </w:p>
  </w:endnote>
  <w:endnote w:type="continuationSeparator" w:id="0">
    <w:p w14:paraId="060671DB" w14:textId="77777777" w:rsidR="009D3EFE" w:rsidRDefault="009D3EFE" w:rsidP="00FD6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panose1 w:val="020B0503020203020204"/>
    <w:charset w:val="4D"/>
    <w:family w:val="swiss"/>
    <w:pitch w:val="variable"/>
    <w:sig w:usb0="A00002EF" w:usb1="5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F5D3" w14:textId="4C1C8028" w:rsidR="00FD66CE" w:rsidRPr="00FD66CE" w:rsidRDefault="00FD66CE" w:rsidP="00FD66CE">
    <w:pPr>
      <w:pStyle w:val="Footer"/>
      <w:tabs>
        <w:tab w:val="clear" w:pos="4536"/>
        <w:tab w:val="clear" w:pos="9072"/>
        <w:tab w:val="right" w:pos="9066"/>
      </w:tabs>
      <w:rPr>
        <w:rFonts w:ascii="PT Sans" w:hAnsi="PT Sans"/>
        <w:color w:val="87CCC9"/>
      </w:rPr>
    </w:pPr>
    <w:r w:rsidRPr="00FD66CE">
      <w:rPr>
        <w:rFonts w:ascii="PT Sans" w:hAnsi="PT Sans"/>
        <w:noProof/>
        <w:color w:val="87CCC9"/>
      </w:rPr>
      <w:drawing>
        <wp:inline distT="0" distB="0" distL="0" distR="0" wp14:anchorId="24D40AC5" wp14:editId="7E3A4F78">
          <wp:extent cx="1079500" cy="456348"/>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07-26-ReSolve-Logo-Claim.png"/>
                  <pic:cNvPicPr/>
                </pic:nvPicPr>
                <pic:blipFill>
                  <a:blip r:embed="rId1">
                    <a:extLst>
                      <a:ext uri="{28A0092B-C50C-407E-A947-70E740481C1C}">
                        <a14:useLocalDpi xmlns:a14="http://schemas.microsoft.com/office/drawing/2010/main" val="0"/>
                      </a:ext>
                    </a:extLst>
                  </a:blip>
                  <a:stretch>
                    <a:fillRect/>
                  </a:stretch>
                </pic:blipFill>
                <pic:spPr>
                  <a:xfrm>
                    <a:off x="0" y="0"/>
                    <a:ext cx="1089390" cy="460529"/>
                  </a:xfrm>
                  <a:prstGeom prst="rect">
                    <a:avLst/>
                  </a:prstGeom>
                </pic:spPr>
              </pic:pic>
            </a:graphicData>
          </a:graphic>
        </wp:inline>
      </w:drawing>
    </w:r>
    <w:r w:rsidR="008103E6">
      <w:rPr>
        <w:rFonts w:ascii="PT Sans" w:hAnsi="PT Sans"/>
        <w:color w:val="87CCC9"/>
      </w:rPr>
      <w:t xml:space="preserve"> </w:t>
    </w:r>
    <w:r w:rsidR="008103E6" w:rsidRPr="008103E6">
      <w:rPr>
        <w:rFonts w:ascii="PT Sans" w:hAnsi="PT Sans"/>
        <w:noProof/>
        <w:color w:val="87CCC9"/>
      </w:rPr>
      <w:drawing>
        <wp:inline distT="0" distB="0" distL="0" distR="0" wp14:anchorId="7C6D6435" wp14:editId="783CE6A3">
          <wp:extent cx="4594225" cy="368409"/>
          <wp:effectExtent l="0" t="0" r="317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4939097" cy="396064"/>
                  </a:xfrm>
                  <a:prstGeom prst="rect">
                    <a:avLst/>
                  </a:prstGeom>
                </pic:spPr>
              </pic:pic>
            </a:graphicData>
          </a:graphic>
        </wp:inline>
      </w:drawing>
    </w:r>
    <w:r w:rsidRPr="00FD66CE">
      <w:rPr>
        <w:rFonts w:ascii="PT Sans" w:hAnsi="PT Sans"/>
        <w:color w:val="87CCC9"/>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4EA5D" w14:textId="77777777" w:rsidR="009D3EFE" w:rsidRDefault="009D3EFE" w:rsidP="00FD66CE">
      <w:r>
        <w:separator/>
      </w:r>
    </w:p>
  </w:footnote>
  <w:footnote w:type="continuationSeparator" w:id="0">
    <w:p w14:paraId="4B37B44B" w14:textId="77777777" w:rsidR="009D3EFE" w:rsidRDefault="009D3EFE" w:rsidP="00FD66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5A"/>
    <w:rsid w:val="00022C53"/>
    <w:rsid w:val="0005284C"/>
    <w:rsid w:val="00054CF2"/>
    <w:rsid w:val="000556B8"/>
    <w:rsid w:val="00075B77"/>
    <w:rsid w:val="000B194A"/>
    <w:rsid w:val="000C2772"/>
    <w:rsid w:val="00113ED3"/>
    <w:rsid w:val="001A1E50"/>
    <w:rsid w:val="001A3E7B"/>
    <w:rsid w:val="001D6DEE"/>
    <w:rsid w:val="00267550"/>
    <w:rsid w:val="00347B0A"/>
    <w:rsid w:val="00354F18"/>
    <w:rsid w:val="00380C76"/>
    <w:rsid w:val="003A022C"/>
    <w:rsid w:val="003A4760"/>
    <w:rsid w:val="00485610"/>
    <w:rsid w:val="004E6FB1"/>
    <w:rsid w:val="00540FB1"/>
    <w:rsid w:val="005456CC"/>
    <w:rsid w:val="00570309"/>
    <w:rsid w:val="005D30D6"/>
    <w:rsid w:val="005F08B5"/>
    <w:rsid w:val="005F41CE"/>
    <w:rsid w:val="006448BC"/>
    <w:rsid w:val="00653FCA"/>
    <w:rsid w:val="00684D0D"/>
    <w:rsid w:val="007233EF"/>
    <w:rsid w:val="00730785"/>
    <w:rsid w:val="00764DF7"/>
    <w:rsid w:val="00805E80"/>
    <w:rsid w:val="008103E6"/>
    <w:rsid w:val="00891438"/>
    <w:rsid w:val="008F023C"/>
    <w:rsid w:val="008F0936"/>
    <w:rsid w:val="009351C1"/>
    <w:rsid w:val="0096071E"/>
    <w:rsid w:val="009B5ECF"/>
    <w:rsid w:val="009D3EFE"/>
    <w:rsid w:val="00A311B4"/>
    <w:rsid w:val="00AB26BA"/>
    <w:rsid w:val="00B6215A"/>
    <w:rsid w:val="00C35132"/>
    <w:rsid w:val="00C55E8B"/>
    <w:rsid w:val="00C91F7F"/>
    <w:rsid w:val="00CC754B"/>
    <w:rsid w:val="00D07960"/>
    <w:rsid w:val="00DE104F"/>
    <w:rsid w:val="00E7204D"/>
    <w:rsid w:val="00EC501C"/>
    <w:rsid w:val="00F22D17"/>
    <w:rsid w:val="00F46969"/>
    <w:rsid w:val="00FD66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FA81A"/>
  <w14:defaultImageDpi w14:val="32767"/>
  <w15:chartTrackingRefBased/>
  <w15:docId w15:val="{3C2876F9-A267-C948-A93F-C6A93BFEB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28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er"/>
    <w:qFormat/>
    <w:rsid w:val="00347B0A"/>
    <w:pPr>
      <w:jc w:val="both"/>
    </w:pPr>
    <w:rPr>
      <w:rFonts w:eastAsia="Times New Roman" w:cs="Times New Roman"/>
      <w:color w:val="000000" w:themeColor="text1"/>
      <w:sz w:val="22"/>
      <w:lang w:eastAsia="de-DE"/>
    </w:rPr>
  </w:style>
  <w:style w:type="paragraph" w:styleId="Header">
    <w:name w:val="header"/>
    <w:basedOn w:val="Normal"/>
    <w:link w:val="HeaderChar"/>
    <w:uiPriority w:val="99"/>
    <w:unhideWhenUsed/>
    <w:rsid w:val="00347B0A"/>
    <w:pPr>
      <w:tabs>
        <w:tab w:val="center" w:pos="4536"/>
        <w:tab w:val="right" w:pos="9072"/>
      </w:tabs>
    </w:pPr>
  </w:style>
  <w:style w:type="character" w:customStyle="1" w:styleId="HeaderChar">
    <w:name w:val="Header Char"/>
    <w:basedOn w:val="DefaultParagraphFont"/>
    <w:link w:val="Header"/>
    <w:uiPriority w:val="99"/>
    <w:rsid w:val="00347B0A"/>
  </w:style>
  <w:style w:type="table" w:customStyle="1" w:styleId="biorecover">
    <w:name w:val="biorecover"/>
    <w:basedOn w:val="TableNormal"/>
    <w:uiPriority w:val="99"/>
    <w:rsid w:val="00AB26BA"/>
    <w:rPr>
      <w:rFonts w:ascii="Arial" w:eastAsia="Times New Roman" w:hAnsi="Arial" w:cs="Times New Roman"/>
      <w:sz w:val="20"/>
      <w:szCs w:val="20"/>
      <w:lang w:eastAsia="en-GB"/>
    </w:rPr>
    <w:tblPr>
      <w:tblStyleRowBandSize w:val="1"/>
      <w:tblStyleColBandSize w:val="1"/>
    </w:tblPr>
    <w:tblStylePr w:type="firstRow">
      <w:rPr>
        <w:rFonts w:ascii="Arial" w:hAnsi="Arial"/>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3D84A0"/>
      </w:tcPr>
    </w:tblStylePr>
    <w:tblStylePr w:type="firstCol">
      <w:rPr>
        <w:rFonts w:ascii="Arial" w:hAnsi="Arial"/>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3D84A0"/>
      </w:tcPr>
    </w:tblStylePr>
    <w:tblStylePr w:type="band1Horz">
      <w:rPr>
        <w:rFonts w:ascii="Arial" w:hAnsi="Arial"/>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DD6EE" w:themeFill="accent5" w:themeFillTint="66"/>
      </w:tcPr>
    </w:tblStylePr>
    <w:tblStylePr w:type="band2Horz">
      <w:rPr>
        <w:rFonts w:ascii="Arial" w:hAnsi="Arial"/>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5E0B3" w:themeFill="accent6" w:themeFillTint="66"/>
      </w:tcPr>
    </w:tblStylePr>
  </w:style>
  <w:style w:type="table" w:customStyle="1" w:styleId="bioreco2">
    <w:name w:val="bioreco2"/>
    <w:basedOn w:val="biorecover"/>
    <w:uiPriority w:val="99"/>
    <w:rsid w:val="00AB26BA"/>
    <w:tblPr/>
    <w:tblStylePr w:type="firstRow">
      <w:rPr>
        <w:rFonts w:ascii="Arial" w:hAnsi="Arial"/>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3D84A0"/>
      </w:tcPr>
    </w:tblStylePr>
    <w:tblStylePr w:type="firstCol">
      <w:rPr>
        <w:rFonts w:ascii="Arial" w:hAnsi="Arial"/>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3D84A0"/>
      </w:tcPr>
    </w:tblStylePr>
    <w:tblStylePr w:type="band1Horz">
      <w:rPr>
        <w:rFonts w:ascii="Arial" w:hAnsi="Arial"/>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DD6EE" w:themeFill="accent5" w:themeFillTint="66"/>
      </w:tcPr>
    </w:tblStylePr>
    <w:tblStylePr w:type="band2Horz">
      <w:rPr>
        <w:rFonts w:ascii="Arial" w:hAnsi="Arial"/>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5E0B3" w:themeFill="accent6" w:themeFillTint="66"/>
      </w:tcPr>
    </w:tblStylePr>
  </w:style>
  <w:style w:type="table" w:customStyle="1" w:styleId="After">
    <w:name w:val="After"/>
    <w:basedOn w:val="TableNormal"/>
    <w:uiPriority w:val="99"/>
    <w:rsid w:val="00540FB1"/>
    <w:rPr>
      <w:rFonts w:eastAsia="Times New Roman" w:cs="Times New Roman"/>
      <w:szCs w:val="20"/>
      <w:lang w:eastAsia="en-GB"/>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FFF"/>
    </w:tcPr>
    <w:tblStylePr w:type="firstRow">
      <w:rPr>
        <w:rFonts w:asciiTheme="minorHAnsi" w:hAnsiTheme="minorHAnsi"/>
        <w:color w:val="FFFFFF"/>
        <w:sz w:val="24"/>
      </w:rPr>
      <w:tblPr/>
      <w:tcPr>
        <w:shd w:val="clear" w:color="auto" w:fill="34495D"/>
      </w:tcPr>
    </w:tblStylePr>
    <w:tblStylePr w:type="band1Horz">
      <w:rPr>
        <w:rFonts w:asciiTheme="minorHAnsi" w:hAnsiTheme="minorHAnsi"/>
        <w:sz w:val="24"/>
      </w:rPr>
      <w:tblPr/>
      <w:tcPr>
        <w:shd w:val="clear" w:color="auto" w:fill="B8CCE5"/>
      </w:tcPr>
    </w:tblStylePr>
    <w:tblStylePr w:type="band2Horz">
      <w:rPr>
        <w:rFonts w:asciiTheme="minorHAnsi" w:hAnsiTheme="minorHAnsi"/>
        <w:sz w:val="24"/>
      </w:rPr>
      <w:tblPr/>
      <w:tcPr>
        <w:shd w:val="clear" w:color="auto" w:fill="B8CCE5"/>
      </w:tcPr>
    </w:tblStylePr>
  </w:style>
  <w:style w:type="table" w:styleId="TableGrid">
    <w:name w:val="Table Grid"/>
    <w:basedOn w:val="TableNormal"/>
    <w:uiPriority w:val="39"/>
    <w:rsid w:val="00B62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D66CE"/>
    <w:pPr>
      <w:tabs>
        <w:tab w:val="center" w:pos="4536"/>
        <w:tab w:val="right" w:pos="9072"/>
      </w:tabs>
    </w:pPr>
  </w:style>
  <w:style w:type="character" w:customStyle="1" w:styleId="FooterChar">
    <w:name w:val="Footer Char"/>
    <w:basedOn w:val="DefaultParagraphFont"/>
    <w:link w:val="Footer"/>
    <w:uiPriority w:val="99"/>
    <w:rsid w:val="00FD66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479286">
      <w:bodyDiv w:val="1"/>
      <w:marLeft w:val="0"/>
      <w:marRight w:val="0"/>
      <w:marTop w:val="0"/>
      <w:marBottom w:val="0"/>
      <w:divBdr>
        <w:top w:val="none" w:sz="0" w:space="0" w:color="auto"/>
        <w:left w:val="none" w:sz="0" w:space="0" w:color="auto"/>
        <w:bottom w:val="none" w:sz="0" w:space="0" w:color="auto"/>
        <w:right w:val="none" w:sz="0" w:space="0" w:color="auto"/>
      </w:divBdr>
      <w:divsChild>
        <w:div w:id="2055348418">
          <w:marLeft w:val="0"/>
          <w:marRight w:val="0"/>
          <w:marTop w:val="0"/>
          <w:marBottom w:val="0"/>
          <w:divBdr>
            <w:top w:val="none" w:sz="0" w:space="0" w:color="auto"/>
            <w:left w:val="none" w:sz="0" w:space="0" w:color="auto"/>
            <w:bottom w:val="none" w:sz="0" w:space="0" w:color="auto"/>
            <w:right w:val="none" w:sz="0" w:space="0" w:color="auto"/>
          </w:divBdr>
        </w:div>
        <w:div w:id="952397629">
          <w:marLeft w:val="0"/>
          <w:marRight w:val="0"/>
          <w:marTop w:val="0"/>
          <w:marBottom w:val="0"/>
          <w:divBdr>
            <w:top w:val="none" w:sz="0" w:space="0" w:color="auto"/>
            <w:left w:val="none" w:sz="0" w:space="0" w:color="auto"/>
            <w:bottom w:val="none" w:sz="0" w:space="0" w:color="auto"/>
            <w:right w:val="none" w:sz="0" w:space="0" w:color="auto"/>
          </w:divBdr>
        </w:div>
      </w:divsChild>
    </w:div>
    <w:div w:id="206598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908</Words>
  <Characters>5176</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Seena Koyadan</dc:creator>
  <cp:keywords/>
  <dc:description/>
  <cp:lastModifiedBy>Seena Koyadan</cp:lastModifiedBy>
  <cp:revision>6</cp:revision>
  <dcterms:created xsi:type="dcterms:W3CDTF">2019-08-13T13:33:00Z</dcterms:created>
  <dcterms:modified xsi:type="dcterms:W3CDTF">2019-09-18T08:39:00Z</dcterms:modified>
</cp:coreProperties>
</file>